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A95B6" w14:textId="77777777" w:rsidR="00DD249E" w:rsidRPr="00E60ABB" w:rsidRDefault="00DD249E">
      <w:pPr>
        <w:widowControl w:val="0"/>
        <w:spacing w:before="123"/>
        <w:ind w:right="20"/>
        <w:jc w:val="center"/>
        <w:rPr>
          <w:lang w:val="uk-UA"/>
        </w:rPr>
      </w:pPr>
    </w:p>
    <w:p w14:paraId="2EAE4F58" w14:textId="7DDE1C18" w:rsidR="00DD249E" w:rsidRPr="00E60ABB" w:rsidRDefault="00E60ABB">
      <w:pPr>
        <w:widowControl w:val="0"/>
        <w:spacing w:before="123"/>
        <w:ind w:right="20"/>
        <w:jc w:val="center"/>
        <w:rPr>
          <w:b/>
          <w:bCs/>
          <w:sz w:val="24"/>
          <w:szCs w:val="24"/>
        </w:rPr>
      </w:pPr>
      <w:r w:rsidRPr="00E60ABB">
        <w:rPr>
          <w:b/>
          <w:bCs/>
          <w:color w:val="000000"/>
          <w:sz w:val="24"/>
          <w:szCs w:val="24"/>
        </w:rPr>
        <w:t>Extended Call for Consultants: Advocacy in Drug Policy and Access to Pharmacotherapy</w:t>
      </w:r>
    </w:p>
    <w:p w14:paraId="7026AFEB" w14:textId="1237C76A" w:rsidR="00DD249E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0"/>
        <w:ind w:right="576"/>
        <w:jc w:val="right"/>
        <w:rPr>
          <w:b/>
        </w:rPr>
      </w:pPr>
      <w:r>
        <w:rPr>
          <w:b/>
        </w:rPr>
        <w:t xml:space="preserve">Kyiv </w:t>
      </w:r>
      <w:r>
        <w:rPr>
          <w:b/>
          <w:color w:val="000000"/>
        </w:rPr>
        <w:t xml:space="preserve"> </w:t>
      </w:r>
      <w:r w:rsidR="00E60ABB">
        <w:rPr>
          <w:b/>
          <w:lang w:val="uk-UA"/>
        </w:rPr>
        <w:t>26</w:t>
      </w:r>
      <w:r>
        <w:rPr>
          <w:b/>
        </w:rPr>
        <w:t>.</w:t>
      </w:r>
      <w:r w:rsidR="00E60ABB">
        <w:rPr>
          <w:b/>
          <w:lang w:val="uk-UA"/>
        </w:rPr>
        <w:t>11</w:t>
      </w:r>
      <w:r>
        <w:rPr>
          <w:b/>
          <w:color w:val="000000"/>
        </w:rPr>
        <w:t>.202</w:t>
      </w:r>
      <w:r>
        <w:rPr>
          <w:b/>
        </w:rPr>
        <w:t>5</w:t>
      </w:r>
      <w:r>
        <w:rPr>
          <w:b/>
          <w:color w:val="000000"/>
        </w:rPr>
        <w:t xml:space="preserve">  </w:t>
      </w:r>
      <w:r>
        <w:rPr>
          <w:b/>
          <w:color w:val="000000"/>
        </w:rPr>
        <w:br/>
      </w:r>
    </w:p>
    <w:p w14:paraId="1737B91E" w14:textId="77777777" w:rsidR="00DD249E" w:rsidRDefault="00000000">
      <w:pPr>
        <w:widowControl w:val="0"/>
        <w:spacing w:before="240" w:after="240"/>
        <w:jc w:val="both"/>
      </w:pPr>
      <w:r>
        <w:t>The Alliance for Public Health is announcing a call for external consultants to support advocacy efforts in drug policy and access to pharmacotherapy for people who use stimulants.</w:t>
      </w:r>
    </w:p>
    <w:p w14:paraId="4FC5795B" w14:textId="77777777" w:rsidR="00DD249E" w:rsidRDefault="00000000">
      <w:pPr>
        <w:pStyle w:val="2"/>
        <w:keepNext w:val="0"/>
        <w:keepLines w:val="0"/>
        <w:widowControl w:val="0"/>
        <w:ind w:right="-11"/>
        <w:jc w:val="both"/>
        <w:rPr>
          <w:sz w:val="24"/>
          <w:szCs w:val="24"/>
        </w:rPr>
      </w:pPr>
      <w:bookmarkStart w:id="0" w:name="_heading=h.4d2ygmi67cua" w:colFirst="0" w:colLast="0"/>
      <w:bookmarkEnd w:id="0"/>
      <w:r>
        <w:rPr>
          <w:sz w:val="24"/>
          <w:szCs w:val="24"/>
        </w:rPr>
        <w:t>Background</w:t>
      </w:r>
    </w:p>
    <w:p w14:paraId="65CD8082" w14:textId="77777777" w:rsidR="00DD249E" w:rsidRDefault="00000000">
      <w:pPr>
        <w:widowControl w:val="0"/>
        <w:spacing w:before="240" w:after="240"/>
        <w:jc w:val="both"/>
      </w:pPr>
      <w:r>
        <w:t>The Alliance for Public Health implements health and harm reduction programs, including innovative approaches such as pharmacotherapy (e.g., a pilot with methylphenidate for ADHD treatment). However, legislative and regulatory barriers currently limit their scale-up. Strong advocacy is required to integrate these programs into national policies and strategies.</w:t>
      </w:r>
    </w:p>
    <w:p w14:paraId="17C7DD03" w14:textId="77777777" w:rsidR="00DD249E" w:rsidRDefault="00000000">
      <w:pPr>
        <w:pStyle w:val="2"/>
        <w:keepNext w:val="0"/>
        <w:keepLines w:val="0"/>
        <w:widowControl w:val="0"/>
        <w:ind w:right="-11"/>
        <w:jc w:val="both"/>
        <w:rPr>
          <w:sz w:val="24"/>
          <w:szCs w:val="24"/>
        </w:rPr>
      </w:pPr>
      <w:bookmarkStart w:id="1" w:name="_heading=h.ijmjy0zdg3gk" w:colFirst="0" w:colLast="0"/>
      <w:bookmarkEnd w:id="1"/>
      <w:r>
        <w:rPr>
          <w:sz w:val="24"/>
          <w:szCs w:val="24"/>
        </w:rPr>
        <w:t>Scope of Work</w:t>
      </w:r>
    </w:p>
    <w:p w14:paraId="69767123" w14:textId="77777777" w:rsidR="00DD249E" w:rsidRDefault="00000000">
      <w:pPr>
        <w:widowControl w:val="0"/>
        <w:spacing w:before="240" w:after="240"/>
        <w:jc w:val="both"/>
      </w:pPr>
      <w:r>
        <w:t>The consultant will:</w:t>
      </w:r>
    </w:p>
    <w:p w14:paraId="7FDF3CA1" w14:textId="77777777" w:rsidR="00DD249E" w:rsidRDefault="00000000">
      <w:pPr>
        <w:widowControl w:val="0"/>
        <w:numPr>
          <w:ilvl w:val="0"/>
          <w:numId w:val="3"/>
        </w:numPr>
        <w:spacing w:before="240"/>
      </w:pPr>
      <w:r>
        <w:t>Monitor and participate in national meetings, working groups, and events on drug policy, pharmacotherapy, and harm reduction.</w:t>
      </w:r>
    </w:p>
    <w:p w14:paraId="3225E26D" w14:textId="77777777" w:rsidR="00DD249E" w:rsidRDefault="00000000">
      <w:pPr>
        <w:widowControl w:val="0"/>
        <w:numPr>
          <w:ilvl w:val="0"/>
          <w:numId w:val="3"/>
        </w:numPr>
      </w:pPr>
      <w:r>
        <w:t>Support participation of Alliance program managers/directors in key advocacy events (briefing, preparation, organization).</w:t>
      </w:r>
    </w:p>
    <w:p w14:paraId="726C45D6" w14:textId="77777777" w:rsidR="00DD249E" w:rsidRDefault="00000000">
      <w:pPr>
        <w:widowControl w:val="0"/>
        <w:numPr>
          <w:ilvl w:val="0"/>
          <w:numId w:val="3"/>
        </w:numPr>
      </w:pPr>
      <w:r>
        <w:t>Prepare analytical materials, briefs, position papers, and advocacy proposals.</w:t>
      </w:r>
    </w:p>
    <w:p w14:paraId="3EC02591" w14:textId="77777777" w:rsidR="00DD249E" w:rsidRDefault="00000000">
      <w:pPr>
        <w:widowControl w:val="0"/>
        <w:numPr>
          <w:ilvl w:val="0"/>
          <w:numId w:val="3"/>
        </w:numPr>
      </w:pPr>
      <w:r>
        <w:t>Maintain communication with the Ministry of Health of Ukraine, the Public Health Center, state institutions, international partners, and donors.</w:t>
      </w:r>
    </w:p>
    <w:p w14:paraId="6C6E0B35" w14:textId="77777777" w:rsidR="00DD249E" w:rsidRDefault="00000000">
      <w:pPr>
        <w:widowControl w:val="0"/>
        <w:numPr>
          <w:ilvl w:val="0"/>
          <w:numId w:val="3"/>
        </w:numPr>
      </w:pPr>
      <w:r>
        <w:t>Support registration and approval processes for new medications needed for stimulant pharmacotherapy, including development of regulatory frameworks.</w:t>
      </w:r>
    </w:p>
    <w:p w14:paraId="54B0E0CC" w14:textId="77777777" w:rsidR="00DD249E" w:rsidRDefault="00000000">
      <w:pPr>
        <w:widowControl w:val="0"/>
        <w:numPr>
          <w:ilvl w:val="0"/>
          <w:numId w:val="3"/>
        </w:numPr>
      </w:pPr>
      <w:r>
        <w:t>Prepare proposals for inclusion of pharmacotherapy and harm reduction programs into national strategies, protocols, and financing plans.</w:t>
      </w:r>
    </w:p>
    <w:p w14:paraId="20ACC55B" w14:textId="77777777" w:rsidR="00DD249E" w:rsidRDefault="00000000">
      <w:pPr>
        <w:widowControl w:val="0"/>
        <w:numPr>
          <w:ilvl w:val="0"/>
          <w:numId w:val="3"/>
        </w:numPr>
        <w:spacing w:after="240"/>
      </w:pPr>
      <w:r>
        <w:t>Provide regular reports on progress, advocacy results, and next steps.</w:t>
      </w:r>
    </w:p>
    <w:p w14:paraId="1F1C0655" w14:textId="77777777" w:rsidR="00DD249E" w:rsidRDefault="00000000">
      <w:pPr>
        <w:pStyle w:val="2"/>
        <w:keepNext w:val="0"/>
        <w:keepLines w:val="0"/>
        <w:widowControl w:val="0"/>
        <w:ind w:right="-11"/>
        <w:jc w:val="both"/>
        <w:rPr>
          <w:sz w:val="24"/>
          <w:szCs w:val="24"/>
        </w:rPr>
      </w:pPr>
      <w:bookmarkStart w:id="2" w:name="_heading=h.8rhm69fkwk26" w:colFirst="0" w:colLast="0"/>
      <w:bookmarkEnd w:id="2"/>
      <w:r>
        <w:rPr>
          <w:sz w:val="24"/>
          <w:szCs w:val="24"/>
        </w:rPr>
        <w:t>Expected Results</w:t>
      </w:r>
    </w:p>
    <w:p w14:paraId="112BAF4B" w14:textId="77777777" w:rsidR="00DD249E" w:rsidRDefault="00000000">
      <w:pPr>
        <w:widowControl w:val="0"/>
        <w:numPr>
          <w:ilvl w:val="0"/>
          <w:numId w:val="1"/>
        </w:numPr>
        <w:spacing w:before="240"/>
      </w:pPr>
      <w:r>
        <w:t>The Alliance is represented and actively participates in national-level policy discussions.</w:t>
      </w:r>
    </w:p>
    <w:p w14:paraId="53F07D80" w14:textId="77777777" w:rsidR="00DD249E" w:rsidRDefault="00000000">
      <w:pPr>
        <w:widowControl w:val="0"/>
        <w:numPr>
          <w:ilvl w:val="0"/>
          <w:numId w:val="1"/>
        </w:numPr>
      </w:pPr>
      <w:r>
        <w:t>Advocacy documents and proposals for legislative/regulatory changes are developed.</w:t>
      </w:r>
    </w:p>
    <w:p w14:paraId="4C0B8C9D" w14:textId="77777777" w:rsidR="00DD249E" w:rsidRDefault="00000000">
      <w:pPr>
        <w:widowControl w:val="0"/>
        <w:numPr>
          <w:ilvl w:val="0"/>
          <w:numId w:val="1"/>
        </w:numPr>
      </w:pPr>
      <w:r>
        <w:t>Proposals for national strategies and plans on pharmacotherapy are submitted.</w:t>
      </w:r>
    </w:p>
    <w:p w14:paraId="721E3933" w14:textId="77777777" w:rsidR="00DD249E" w:rsidRDefault="00000000">
      <w:pPr>
        <w:widowControl w:val="0"/>
        <w:numPr>
          <w:ilvl w:val="0"/>
          <w:numId w:val="1"/>
        </w:numPr>
      </w:pPr>
      <w:r>
        <w:t>Effective communication with government and key stakeholders is established.</w:t>
      </w:r>
    </w:p>
    <w:p w14:paraId="0C855563" w14:textId="77777777" w:rsidR="00DD249E" w:rsidRDefault="00000000">
      <w:pPr>
        <w:widowControl w:val="0"/>
        <w:numPr>
          <w:ilvl w:val="0"/>
          <w:numId w:val="1"/>
        </w:numPr>
        <w:spacing w:after="240"/>
      </w:pPr>
      <w:r>
        <w:t>Conditions for registration and use of new pharmacotherapy medications are advanced.</w:t>
      </w:r>
    </w:p>
    <w:p w14:paraId="7229742E" w14:textId="77777777" w:rsidR="00DD249E" w:rsidRDefault="00000000">
      <w:pPr>
        <w:pStyle w:val="2"/>
        <w:keepNext w:val="0"/>
        <w:keepLines w:val="0"/>
        <w:widowControl w:val="0"/>
        <w:ind w:right="-11"/>
        <w:jc w:val="both"/>
        <w:rPr>
          <w:sz w:val="24"/>
          <w:szCs w:val="24"/>
        </w:rPr>
      </w:pPr>
      <w:bookmarkStart w:id="3" w:name="_heading=h.enj5oxjnxqsk" w:colFirst="0" w:colLast="0"/>
      <w:bookmarkEnd w:id="3"/>
      <w:r>
        <w:rPr>
          <w:sz w:val="24"/>
          <w:szCs w:val="24"/>
        </w:rPr>
        <w:t>Candidate Requirements</w:t>
      </w:r>
    </w:p>
    <w:p w14:paraId="3B5AF1E9" w14:textId="77777777" w:rsidR="00DD249E" w:rsidRDefault="00000000">
      <w:pPr>
        <w:widowControl w:val="0"/>
        <w:numPr>
          <w:ilvl w:val="0"/>
          <w:numId w:val="2"/>
        </w:numPr>
        <w:spacing w:before="240"/>
      </w:pPr>
      <w:r>
        <w:lastRenderedPageBreak/>
        <w:t>Proven experience in advocacy, public health, drug policy, or harm reduction.</w:t>
      </w:r>
    </w:p>
    <w:p w14:paraId="2AFF5262" w14:textId="77777777" w:rsidR="00DD249E" w:rsidRDefault="00000000">
      <w:pPr>
        <w:widowControl w:val="0"/>
        <w:numPr>
          <w:ilvl w:val="0"/>
          <w:numId w:val="2"/>
        </w:numPr>
      </w:pPr>
      <w:r>
        <w:t>Knowledge of Ukrainian legislation and regulatory frameworks in healthcare and pharmaceuticals.</w:t>
      </w:r>
    </w:p>
    <w:p w14:paraId="2008522B" w14:textId="77777777" w:rsidR="00DD249E" w:rsidRDefault="00000000">
      <w:pPr>
        <w:widowControl w:val="0"/>
        <w:numPr>
          <w:ilvl w:val="0"/>
          <w:numId w:val="2"/>
        </w:numPr>
      </w:pPr>
      <w:r>
        <w:t>Experience working with government, international organizations, and donors.</w:t>
      </w:r>
    </w:p>
    <w:p w14:paraId="7A4509EB" w14:textId="77777777" w:rsidR="00DD249E" w:rsidRDefault="00000000">
      <w:pPr>
        <w:widowControl w:val="0"/>
        <w:numPr>
          <w:ilvl w:val="0"/>
          <w:numId w:val="2"/>
        </w:numPr>
      </w:pPr>
      <w:r>
        <w:t>Strong analytical, communication, and organizational skills.</w:t>
      </w:r>
    </w:p>
    <w:p w14:paraId="459A7575" w14:textId="77777777" w:rsidR="00DD249E" w:rsidRDefault="00000000">
      <w:pPr>
        <w:widowControl w:val="0"/>
        <w:numPr>
          <w:ilvl w:val="0"/>
          <w:numId w:val="2"/>
        </w:numPr>
      </w:pPr>
      <w:r>
        <w:t>Ability to prepare advocacy and policy documents.</w:t>
      </w:r>
    </w:p>
    <w:p w14:paraId="5198D15C" w14:textId="77777777" w:rsidR="00DD249E" w:rsidRDefault="00000000">
      <w:pPr>
        <w:widowControl w:val="0"/>
        <w:numPr>
          <w:ilvl w:val="0"/>
          <w:numId w:val="2"/>
        </w:numPr>
        <w:spacing w:after="240"/>
      </w:pPr>
      <w:r>
        <w:t>Fluency in Ukrainian; English knowledge is an asset.</w:t>
      </w:r>
    </w:p>
    <w:p w14:paraId="6EA497AD" w14:textId="77777777" w:rsidR="00DD249E" w:rsidRDefault="00000000">
      <w:pPr>
        <w:pStyle w:val="2"/>
        <w:keepNext w:val="0"/>
        <w:keepLines w:val="0"/>
        <w:widowControl w:val="0"/>
        <w:ind w:right="-11"/>
        <w:jc w:val="both"/>
        <w:rPr>
          <w:sz w:val="24"/>
          <w:szCs w:val="24"/>
        </w:rPr>
      </w:pPr>
      <w:bookmarkStart w:id="4" w:name="_heading=h.8o4azw4ffck3" w:colFirst="0" w:colLast="0"/>
      <w:bookmarkEnd w:id="4"/>
      <w:r>
        <w:rPr>
          <w:sz w:val="24"/>
          <w:szCs w:val="24"/>
        </w:rPr>
        <w:t>Collaboration Terms</w:t>
      </w:r>
    </w:p>
    <w:p w14:paraId="3B5BBF36" w14:textId="77777777" w:rsidR="00DD249E" w:rsidRDefault="00000000">
      <w:pPr>
        <w:widowControl w:val="0"/>
        <w:numPr>
          <w:ilvl w:val="0"/>
          <w:numId w:val="4"/>
        </w:numPr>
        <w:spacing w:before="240"/>
      </w:pPr>
      <w:r>
        <w:t>Duration: until July 2026, with possibility of extension.</w:t>
      </w:r>
    </w:p>
    <w:p w14:paraId="49C33BBB" w14:textId="77777777" w:rsidR="00DD249E" w:rsidRDefault="00000000">
      <w:pPr>
        <w:widowControl w:val="0"/>
        <w:numPr>
          <w:ilvl w:val="0"/>
          <w:numId w:val="4"/>
        </w:numPr>
      </w:pPr>
      <w:r>
        <w:t>Workload: part-time / hourly basis.</w:t>
      </w:r>
    </w:p>
    <w:p w14:paraId="61D748DA" w14:textId="77777777" w:rsidR="00DD249E" w:rsidRDefault="00000000">
      <w:pPr>
        <w:widowControl w:val="0"/>
        <w:numPr>
          <w:ilvl w:val="0"/>
          <w:numId w:val="4"/>
        </w:numPr>
        <w:spacing w:after="240"/>
      </w:pPr>
      <w:r>
        <w:t>Compensation: based on qualifications and agreed daily/hourly rates.</w:t>
      </w:r>
    </w:p>
    <w:p w14:paraId="1B12BDD2" w14:textId="77777777" w:rsidR="00DD249E" w:rsidRDefault="00000000">
      <w:pPr>
        <w:pStyle w:val="2"/>
        <w:keepNext w:val="0"/>
        <w:keepLines w:val="0"/>
        <w:widowControl w:val="0"/>
        <w:ind w:right="-11"/>
        <w:jc w:val="both"/>
        <w:rPr>
          <w:sz w:val="24"/>
          <w:szCs w:val="24"/>
        </w:rPr>
      </w:pPr>
      <w:bookmarkStart w:id="5" w:name="_heading=h.lxsjpwkyv2ml" w:colFirst="0" w:colLast="0"/>
      <w:bookmarkEnd w:id="5"/>
      <w:r>
        <w:rPr>
          <w:sz w:val="24"/>
          <w:szCs w:val="24"/>
        </w:rPr>
        <w:t>How to Apply</w:t>
      </w:r>
    </w:p>
    <w:p w14:paraId="3908E6F9" w14:textId="77777777" w:rsidR="00DD249E" w:rsidRDefault="00000000">
      <w:pPr>
        <w:widowControl w:val="0"/>
        <w:spacing w:before="240" w:after="240"/>
        <w:jc w:val="both"/>
        <w:rPr>
          <w:u w:val="single"/>
        </w:rPr>
      </w:pPr>
      <w:r>
        <w:rPr>
          <w:u w:val="single"/>
        </w:rPr>
        <w:t>To apply, please submit:</w:t>
      </w:r>
    </w:p>
    <w:p w14:paraId="2591B573" w14:textId="77777777" w:rsidR="00DD249E" w:rsidRDefault="00000000">
      <w:pPr>
        <w:widowControl w:val="0"/>
        <w:numPr>
          <w:ilvl w:val="0"/>
          <w:numId w:val="5"/>
        </w:numPr>
        <w:spacing w:before="240"/>
      </w:pPr>
      <w:r>
        <w:rPr>
          <w:b/>
        </w:rPr>
        <w:t xml:space="preserve">Resume (CV) </w:t>
      </w:r>
      <w:r>
        <w:t>highlighting relevant experience.</w:t>
      </w:r>
    </w:p>
    <w:p w14:paraId="61EAD232" w14:textId="77777777" w:rsidR="00DD249E" w:rsidRDefault="00000000">
      <w:pPr>
        <w:widowControl w:val="0"/>
        <w:numPr>
          <w:ilvl w:val="0"/>
          <w:numId w:val="5"/>
        </w:numPr>
      </w:pPr>
      <w:r>
        <w:rPr>
          <w:b/>
        </w:rPr>
        <w:t>Cover letter</w:t>
      </w:r>
      <w:r>
        <w:t xml:space="preserve"> describing motivation and relevant skills.</w:t>
      </w:r>
    </w:p>
    <w:p w14:paraId="088EA4B4" w14:textId="77777777" w:rsidR="00DD249E" w:rsidRDefault="00000000">
      <w:pPr>
        <w:widowControl w:val="0"/>
        <w:numPr>
          <w:ilvl w:val="0"/>
          <w:numId w:val="5"/>
        </w:numPr>
      </w:pPr>
      <w:r>
        <w:rPr>
          <w:b/>
        </w:rPr>
        <w:t>Expected daily rate</w:t>
      </w:r>
      <w:r>
        <w:t xml:space="preserve"> (with documentation of previous rates/contracts, if available).</w:t>
      </w:r>
    </w:p>
    <w:p w14:paraId="63514D61" w14:textId="77777777" w:rsidR="00DD249E" w:rsidRDefault="00000000">
      <w:pPr>
        <w:widowControl w:val="0"/>
        <w:numPr>
          <w:ilvl w:val="0"/>
          <w:numId w:val="5"/>
        </w:numPr>
        <w:spacing w:after="240"/>
      </w:pPr>
      <w:r>
        <w:t>Samples of advocacy/analytical work (if available).</w:t>
      </w:r>
    </w:p>
    <w:p w14:paraId="411260B9" w14:textId="77777777" w:rsidR="00DD249E" w:rsidRDefault="00000000">
      <w:pPr>
        <w:widowControl w:val="0"/>
        <w:spacing w:before="240" w:after="240"/>
        <w:jc w:val="both"/>
        <w:rPr>
          <w:b/>
        </w:rPr>
      </w:pPr>
      <w:r>
        <w:t xml:space="preserve">Send applications to </w:t>
      </w:r>
      <w:r>
        <w:rPr>
          <w:b/>
          <w:u w:val="single"/>
        </w:rPr>
        <w:t>malakhova@aph.org.ua</w:t>
      </w:r>
      <w:r>
        <w:rPr>
          <w:b/>
        </w:rPr>
        <w:t xml:space="preserve"> </w:t>
      </w:r>
      <w:r>
        <w:t xml:space="preserve">with the subject line: </w:t>
      </w:r>
      <w:r>
        <w:rPr>
          <w:b/>
        </w:rPr>
        <w:t>“Advocacy Consultant Application”</w:t>
      </w:r>
    </w:p>
    <w:p w14:paraId="791574EB" w14:textId="5DCF74B7" w:rsidR="00DD249E" w:rsidRDefault="00000000">
      <w:pPr>
        <w:widowControl w:val="0"/>
        <w:spacing w:before="240" w:after="240"/>
        <w:jc w:val="both"/>
        <w:rPr>
          <w:b/>
        </w:rPr>
      </w:pPr>
      <w:r>
        <w:rPr>
          <w:b/>
        </w:rPr>
        <w:t xml:space="preserve">Application deadline: </w:t>
      </w:r>
      <w:r w:rsidR="00E60ABB" w:rsidRPr="00E60ABB">
        <w:rPr>
          <w:b/>
          <w:bCs/>
          <w:color w:val="000000"/>
        </w:rPr>
        <w:t>16 December 2025</w:t>
      </w:r>
      <w:r>
        <w:rPr>
          <w:b/>
        </w:rPr>
        <w:t>, COB Kyiv time</w:t>
      </w:r>
    </w:p>
    <w:p w14:paraId="473341CC" w14:textId="77777777" w:rsidR="00DD249E" w:rsidRDefault="00000000">
      <w:pPr>
        <w:widowControl w:val="0"/>
        <w:spacing w:before="240" w:after="240"/>
        <w:jc w:val="both"/>
      </w:pPr>
      <w:r>
        <w:t xml:space="preserve">More details about the Alliance’s work can be found at </w:t>
      </w:r>
      <w:hyperlink r:id="rId8">
        <w:r>
          <w:rPr>
            <w:color w:val="1155CC"/>
            <w:u w:val="single"/>
          </w:rPr>
          <w:t>www.aph.org.ua</w:t>
        </w:r>
      </w:hyperlink>
      <w:r>
        <w:t>.</w:t>
      </w:r>
    </w:p>
    <w:p w14:paraId="147014A4" w14:textId="77777777" w:rsidR="00DD249E" w:rsidRDefault="00DD249E">
      <w:pPr>
        <w:widowControl w:val="0"/>
        <w:spacing w:before="27"/>
        <w:ind w:left="708" w:right="-11" w:firstLine="708"/>
        <w:jc w:val="both"/>
        <w:rPr>
          <w:b/>
        </w:rPr>
      </w:pPr>
    </w:p>
    <w:p w14:paraId="2AD48FC7" w14:textId="77777777" w:rsidR="00DD249E" w:rsidRDefault="00000000">
      <w:pPr>
        <w:widowControl w:val="0"/>
        <w:spacing w:before="27"/>
        <w:ind w:left="708" w:right="-11" w:firstLine="708"/>
        <w:jc w:val="both"/>
        <w:rPr>
          <w:b/>
        </w:rPr>
      </w:pPr>
      <w:r>
        <w:rPr>
          <w:b/>
        </w:rPr>
        <w:t>Additional Information</w:t>
      </w:r>
    </w:p>
    <w:p w14:paraId="379C819C" w14:textId="77777777" w:rsidR="00DD249E" w:rsidRDefault="00000000">
      <w:pPr>
        <w:widowControl w:val="0"/>
        <w:spacing w:before="27"/>
        <w:ind w:left="708" w:right="-11" w:firstLine="708"/>
        <w:jc w:val="both"/>
      </w:pPr>
      <w:r>
        <w:rPr>
          <w:b/>
        </w:rPr>
        <w:t xml:space="preserve"> </w:t>
      </w:r>
      <w:r>
        <w:t>• Interviews may be conducted to clarify details of the collaboration.</w:t>
      </w:r>
    </w:p>
    <w:p w14:paraId="0A251FFB" w14:textId="77777777" w:rsidR="00DD249E" w:rsidRDefault="00000000">
      <w:pPr>
        <w:widowControl w:val="0"/>
        <w:spacing w:before="27"/>
        <w:ind w:left="708" w:right="-11" w:firstLine="708"/>
        <w:jc w:val="both"/>
      </w:pPr>
      <w:r>
        <w:t xml:space="preserve"> • The Alliance reserves the right not to disclose reasons for rejection.</w:t>
      </w:r>
    </w:p>
    <w:p w14:paraId="4D489FA6" w14:textId="77777777" w:rsidR="00DD249E" w:rsidRDefault="00000000">
      <w:pPr>
        <w:widowControl w:val="0"/>
        <w:spacing w:before="27"/>
        <w:ind w:left="708" w:right="-11" w:firstLine="708"/>
        <w:jc w:val="both"/>
      </w:pPr>
      <w:r>
        <w:t xml:space="preserve"> • Government officials are not eligible to apply.</w:t>
      </w:r>
    </w:p>
    <w:p w14:paraId="7621775F" w14:textId="77777777" w:rsidR="00DD249E" w:rsidRDefault="00DD249E">
      <w:pPr>
        <w:widowControl w:val="0"/>
        <w:spacing w:before="27"/>
        <w:ind w:left="708" w:right="-11" w:firstLine="708"/>
        <w:jc w:val="both"/>
        <w:rPr>
          <w:b/>
        </w:rPr>
      </w:pPr>
    </w:p>
    <w:p w14:paraId="7CED7011" w14:textId="77777777" w:rsidR="00DD249E" w:rsidRDefault="00DD249E">
      <w:pPr>
        <w:widowControl w:val="0"/>
        <w:spacing w:before="27"/>
        <w:ind w:left="708" w:right="-11" w:firstLine="708"/>
        <w:jc w:val="both"/>
        <w:rPr>
          <w:color w:val="000000"/>
        </w:rPr>
      </w:pPr>
    </w:p>
    <w:sectPr w:rsidR="00DD249E">
      <w:headerReference w:type="default" r:id="rId9"/>
      <w:footerReference w:type="default" r:id="rId10"/>
      <w:pgSz w:w="11900" w:h="16840"/>
      <w:pgMar w:top="592" w:right="1470" w:bottom="684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BD021" w14:textId="77777777" w:rsidR="001C69B0" w:rsidRDefault="001C69B0">
      <w:pPr>
        <w:spacing w:line="240" w:lineRule="auto"/>
      </w:pPr>
      <w:r>
        <w:separator/>
      </w:r>
    </w:p>
  </w:endnote>
  <w:endnote w:type="continuationSeparator" w:id="0">
    <w:p w14:paraId="69559954" w14:textId="77777777" w:rsidR="001C69B0" w:rsidRDefault="001C69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FA7A" w14:textId="77777777" w:rsidR="00DD249E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E60AB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CBE03" w14:textId="77777777" w:rsidR="001C69B0" w:rsidRDefault="001C69B0">
      <w:pPr>
        <w:spacing w:line="240" w:lineRule="auto"/>
      </w:pPr>
      <w:r>
        <w:separator/>
      </w:r>
    </w:p>
  </w:footnote>
  <w:footnote w:type="continuationSeparator" w:id="0">
    <w:p w14:paraId="75EE03DC" w14:textId="77777777" w:rsidR="001C69B0" w:rsidRDefault="001C69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547C" w14:textId="77777777" w:rsidR="00DD249E" w:rsidRDefault="00000000">
    <w:pPr>
      <w:widowControl w:val="0"/>
      <w:spacing w:line="240" w:lineRule="auto"/>
      <w:ind w:right="20"/>
      <w:jc w:val="right"/>
      <w:rPr>
        <w:sz w:val="16"/>
        <w:szCs w:val="16"/>
      </w:rPr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596B7017" wp14:editId="09B80916">
          <wp:simplePos x="0" y="0"/>
          <wp:positionH relativeFrom="column">
            <wp:posOffset>19052</wp:posOffset>
          </wp:positionH>
          <wp:positionV relativeFrom="paragraph">
            <wp:posOffset>133350</wp:posOffset>
          </wp:positionV>
          <wp:extent cx="2241306" cy="633413"/>
          <wp:effectExtent l="0" t="0" r="0" b="0"/>
          <wp:wrapSquare wrapText="bothSides" distT="114300" distB="11430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41306" cy="6334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FA6E21A" w14:textId="77777777" w:rsidR="00DD249E" w:rsidRDefault="00DD249E">
    <w:pPr>
      <w:widowControl w:val="0"/>
      <w:spacing w:line="240" w:lineRule="auto"/>
      <w:ind w:right="20"/>
      <w:rPr>
        <w:sz w:val="16"/>
        <w:szCs w:val="16"/>
      </w:rPr>
    </w:pPr>
  </w:p>
  <w:p w14:paraId="203CDD1C" w14:textId="77777777" w:rsidR="00DD249E" w:rsidRDefault="00000000">
    <w:pPr>
      <w:widowControl w:val="0"/>
      <w:spacing w:line="240" w:lineRule="auto"/>
      <w:ind w:right="20"/>
      <w:jc w:val="right"/>
      <w:rPr>
        <w:sz w:val="16"/>
        <w:szCs w:val="16"/>
      </w:rPr>
    </w:pPr>
    <w:r>
      <w:rPr>
        <w:sz w:val="16"/>
        <w:szCs w:val="16"/>
      </w:rPr>
      <w:t xml:space="preserve">24 Bulvarno-Kudriavska St., </w:t>
    </w:r>
  </w:p>
  <w:p w14:paraId="59FB3098" w14:textId="77777777" w:rsidR="00DD249E" w:rsidRDefault="00000000">
    <w:pPr>
      <w:widowControl w:val="0"/>
      <w:spacing w:line="240" w:lineRule="auto"/>
      <w:ind w:right="20"/>
      <w:jc w:val="right"/>
      <w:rPr>
        <w:sz w:val="16"/>
        <w:szCs w:val="16"/>
      </w:rPr>
    </w:pPr>
    <w:r>
      <w:rPr>
        <w:sz w:val="16"/>
        <w:szCs w:val="16"/>
      </w:rPr>
      <w:t>01054 Kyiv, Ukraine</w:t>
    </w:r>
  </w:p>
  <w:p w14:paraId="1484249E" w14:textId="77777777" w:rsidR="00DD249E" w:rsidRDefault="00000000">
    <w:pPr>
      <w:widowControl w:val="0"/>
      <w:spacing w:line="240" w:lineRule="auto"/>
      <w:ind w:right="20"/>
      <w:jc w:val="right"/>
      <w:rPr>
        <w:sz w:val="16"/>
        <w:szCs w:val="16"/>
      </w:rPr>
    </w:pPr>
    <w:r>
      <w:rPr>
        <w:sz w:val="16"/>
        <w:szCs w:val="16"/>
      </w:rPr>
      <w:t xml:space="preserve">phone.: 044 490 5485 </w:t>
    </w:r>
  </w:p>
  <w:p w14:paraId="2C7D7C5E" w14:textId="77777777" w:rsidR="00DD249E" w:rsidRDefault="00000000">
    <w:pPr>
      <w:widowControl w:val="0"/>
      <w:spacing w:line="240" w:lineRule="auto"/>
      <w:ind w:right="20"/>
      <w:jc w:val="right"/>
      <w:rPr>
        <w:sz w:val="16"/>
        <w:szCs w:val="16"/>
      </w:rPr>
    </w:pPr>
    <w:r>
      <w:rPr>
        <w:sz w:val="16"/>
        <w:szCs w:val="16"/>
      </w:rPr>
      <w:t xml:space="preserve">fax: 044 490 5489  </w:t>
    </w:r>
  </w:p>
  <w:p w14:paraId="6518FA1D" w14:textId="77777777" w:rsidR="00DD249E" w:rsidRDefault="00000000">
    <w:pPr>
      <w:widowControl w:val="0"/>
      <w:spacing w:line="240" w:lineRule="auto"/>
      <w:ind w:right="20"/>
      <w:jc w:val="right"/>
      <w:rPr>
        <w:sz w:val="16"/>
        <w:szCs w:val="16"/>
      </w:rPr>
    </w:pPr>
    <w:r>
      <w:rPr>
        <w:sz w:val="16"/>
        <w:szCs w:val="16"/>
      </w:rPr>
      <w:t xml:space="preserve">info@aph.org.ua | www.aph.org.ua </w:t>
    </w:r>
  </w:p>
  <w:p w14:paraId="0A400DD2" w14:textId="77777777" w:rsidR="00DD249E" w:rsidRDefault="00DD249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E5B"/>
    <w:multiLevelType w:val="multilevel"/>
    <w:tmpl w:val="7A020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497435B"/>
    <w:multiLevelType w:val="multilevel"/>
    <w:tmpl w:val="5B4ABE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8A7AF5"/>
    <w:multiLevelType w:val="multilevel"/>
    <w:tmpl w:val="B04283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92F29F4"/>
    <w:multiLevelType w:val="multilevel"/>
    <w:tmpl w:val="7E46C3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BF2B7E"/>
    <w:multiLevelType w:val="multilevel"/>
    <w:tmpl w:val="9D4CE2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02129179">
    <w:abstractNumId w:val="1"/>
  </w:num>
  <w:num w:numId="2" w16cid:durableId="998534663">
    <w:abstractNumId w:val="4"/>
  </w:num>
  <w:num w:numId="3" w16cid:durableId="265039993">
    <w:abstractNumId w:val="0"/>
  </w:num>
  <w:num w:numId="4" w16cid:durableId="377705642">
    <w:abstractNumId w:val="3"/>
  </w:num>
  <w:num w:numId="5" w16cid:durableId="1895003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49E"/>
    <w:rsid w:val="001C69B0"/>
    <w:rsid w:val="00446A4A"/>
    <w:rsid w:val="00DD249E"/>
    <w:rsid w:val="00E6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179F54"/>
  <w15:docId w15:val="{43BD79D9-7475-0E49-8730-C984C49D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UA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h.org.ua/?utm_source=chatgp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Gw0TLByKtcVe8PJpPJsd61GztA==">CgMxLjAyDmguNGQyeWdtaTY3Y3VhMg5oLmlqbWp5MHpkZzNnazIOaC44cmhtNjlma3drMjYyDmguZW5qNW94am54cXNrMg5oLjhvNGF6dzRmZmNrMzIOaC5seHNqcHdreXYybWw4AHIhMXdENk41Q3JMbWRaR2VudDZKTHpfN01ncHlhcS1lSWpV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Vaskovets Viktoriia</cp:lastModifiedBy>
  <cp:revision>2</cp:revision>
  <dcterms:created xsi:type="dcterms:W3CDTF">2025-11-26T13:02:00Z</dcterms:created>
  <dcterms:modified xsi:type="dcterms:W3CDTF">2025-11-26T13:06:00Z</dcterms:modified>
</cp:coreProperties>
</file>