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FE1AD4" w:rsidRDefault="0088387C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FE1AD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721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FE1AD4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Pr="00FE1AD4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FE1AD4">
        <w:rPr>
          <w:rFonts w:ascii="Arial" w:hAnsi="Arial" w:cs="Arial"/>
          <w:i/>
        </w:rPr>
        <w:tab/>
      </w:r>
    </w:p>
    <w:p w:rsidR="00577FF6" w:rsidRPr="00FE1AD4" w:rsidRDefault="00577FF6" w:rsidP="000704F2">
      <w:pPr>
        <w:rPr>
          <w:rFonts w:ascii="Arial" w:hAnsi="Arial" w:cs="Arial"/>
        </w:rPr>
      </w:pPr>
    </w:p>
    <w:p w:rsidR="00491366" w:rsidRPr="00FE1AD4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FE1AD4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010978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1AD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0819BE" w:rsidRPr="00FE1AD4">
        <w:rPr>
          <w:rFonts w:ascii="Arial" w:hAnsi="Arial" w:cs="Arial"/>
          <w:b/>
          <w:lang w:val="uk-UA"/>
        </w:rPr>
        <w:t xml:space="preserve">на проведення щорічного ТО та ремонту </w:t>
      </w:r>
      <w:r w:rsidR="00DD27CD">
        <w:rPr>
          <w:rFonts w:ascii="Arial" w:hAnsi="Arial" w:cs="Arial"/>
          <w:b/>
          <w:lang w:val="uk-UA"/>
        </w:rPr>
        <w:t>автоклавів та центрифуг лабораторних.</w:t>
      </w:r>
    </w:p>
    <w:p w:rsidR="006164BA" w:rsidRPr="00FE1AD4" w:rsidRDefault="006164BA" w:rsidP="006164BA">
      <w:pPr>
        <w:pStyle w:val="2"/>
        <w:jc w:val="both"/>
        <w:rPr>
          <w:rFonts w:ascii="Arial" w:hAnsi="Arial" w:cs="Arial"/>
          <w:b w:val="0"/>
          <w:i w:val="0"/>
          <w:sz w:val="22"/>
          <w:szCs w:val="22"/>
          <w:lang w:val="uk-UA"/>
        </w:rPr>
      </w:pP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>Ця закупівля виконується в рамках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 xml:space="preserve"> реалізації програми «</w:t>
      </w: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>Стійка відповідь на епідемії ВІЛ і ТБ в умовах війни та відновлення України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 xml:space="preserve"> на 2024-2026» відповідно до Договору про надання гранту № 3644 від «19» грудня 2023 року (назва гранту 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</w:rPr>
        <w:t>UKR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>-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</w:rPr>
        <w:t>C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>-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</w:rPr>
        <w:t>AUA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 xml:space="preserve">), між Глобальним фондом для боротьби зі СНІДом, туберкульозом та малярією та МБФ «Альянс громадського </w:t>
      </w: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 xml:space="preserve">здоров’я». </w:t>
      </w:r>
      <w:r w:rsidRPr="00FE1AD4">
        <w:rPr>
          <w:rFonts w:ascii="Arial" w:hAnsi="Arial" w:cs="Arial"/>
          <w:i w:val="0"/>
          <w:noProof/>
          <w:sz w:val="22"/>
          <w:szCs w:val="22"/>
          <w:lang w:val="uk-UA"/>
        </w:rPr>
        <w:t>Поставка цієї продукції звільнена від сплати ПДВ</w:t>
      </w:r>
      <w:r w:rsidRPr="00FE1AD4">
        <w:rPr>
          <w:rFonts w:ascii="Arial" w:hAnsi="Arial" w:cs="Arial"/>
          <w:b w:val="0"/>
          <w:i w:val="0"/>
          <w:noProof/>
          <w:sz w:val="22"/>
          <w:szCs w:val="22"/>
          <w:lang w:val="uk-UA"/>
        </w:rPr>
        <w:t xml:space="preserve"> - у</w:t>
      </w: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 xml:space="preserve"> відповідності до положень п. 26 підрозділу 2, розділу ХХ Податкового кодексу України.</w:t>
      </w:r>
    </w:p>
    <w:p w:rsidR="00800288" w:rsidRPr="00FE1AD4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1AD4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010978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FE1AD4">
        <w:rPr>
          <w:rFonts w:ascii="Arial" w:hAnsi="Arial" w:cs="Arial"/>
          <w:iCs/>
          <w:color w:val="161515"/>
          <w:lang w:val="uk-UA"/>
        </w:rPr>
        <w:t>ною</w:t>
      </w:r>
      <w:r w:rsidRPr="00FE1AD4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 w:rsidRPr="00FE1AD4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FE1AD4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FE1AD4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010978">
        <w:rPr>
          <w:rFonts w:ascii="Arial" w:hAnsi="Arial" w:cs="Arial"/>
          <w:b/>
          <w:iCs/>
          <w:color w:val="161515"/>
          <w:lang w:val="uk-UA"/>
        </w:rPr>
        <w:t>конкурс</w:t>
      </w:r>
      <w:r w:rsidR="00D70E6A" w:rsidRPr="00FE1AD4">
        <w:rPr>
          <w:rFonts w:ascii="Arial" w:hAnsi="Arial" w:cs="Arial"/>
          <w:b/>
          <w:iCs/>
          <w:color w:val="161515"/>
          <w:lang w:val="uk-UA"/>
        </w:rPr>
        <w:t>у</w:t>
      </w:r>
      <w:r w:rsidRPr="00FE1AD4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010978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FE1AD4">
        <w:rPr>
          <w:rFonts w:ascii="Arial" w:hAnsi="Arial" w:cs="Arial"/>
          <w:iCs/>
          <w:color w:val="161515"/>
          <w:lang w:val="uk-UA"/>
        </w:rPr>
        <w:t>у</w:t>
      </w:r>
      <w:r w:rsidRPr="00FE1AD4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</w:t>
      </w:r>
      <w:r w:rsidR="0017701C" w:rsidRPr="00FE1AD4">
        <w:rPr>
          <w:rFonts w:ascii="Arial" w:hAnsi="Arial" w:cs="Arial"/>
          <w:iCs/>
          <w:color w:val="161515"/>
          <w:lang w:val="uk-UA"/>
        </w:rPr>
        <w:t>о</w:t>
      </w:r>
      <w:r w:rsidRPr="00FE1AD4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93126C" w:rsidRPr="00FE1AD4">
        <w:rPr>
          <w:rFonts w:ascii="Arial" w:hAnsi="Arial" w:cs="Arial"/>
          <w:iCs/>
          <w:color w:val="161515"/>
          <w:lang w:val="uk-UA"/>
        </w:rPr>
        <w:t>гривнях</w:t>
      </w:r>
      <w:r w:rsidRPr="00FE1AD4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DD27CD" w:rsidRDefault="00491366" w:rsidP="00DD27CD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DD27CD" w:rsidRPr="00DD27CD" w:rsidRDefault="00DD27CD" w:rsidP="00DD27CD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4.</w:t>
      </w:r>
      <w:r w:rsidR="00010978">
        <w:rPr>
          <w:rFonts w:ascii="Arial" w:hAnsi="Arial" w:cs="Arial"/>
          <w:iCs/>
          <w:color w:val="161515"/>
          <w:lang w:val="uk-UA"/>
        </w:rPr>
        <w:t xml:space="preserve"> </w:t>
      </w:r>
      <w:r>
        <w:rPr>
          <w:rFonts w:ascii="Arial" w:hAnsi="Arial" w:cs="Arial"/>
          <w:lang w:val="uk-UA"/>
        </w:rPr>
        <w:t>Пропозиції можна надавати як по обом лотам так і окремо. Постачальник буде обиратися по кожному лоту окремо.</w:t>
      </w:r>
    </w:p>
    <w:p w:rsidR="00491366" w:rsidRPr="00010978" w:rsidRDefault="00DD27CD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</w:rPr>
        <w:t>5</w:t>
      </w:r>
      <w:r w:rsidR="00CB128F" w:rsidRPr="00FE1AD4">
        <w:rPr>
          <w:rFonts w:ascii="Arial" w:hAnsi="Arial" w:cs="Arial"/>
          <w:iCs/>
          <w:color w:val="161515"/>
        </w:rPr>
        <w:t>.</w:t>
      </w:r>
      <w:r w:rsidR="00491366" w:rsidRPr="00FE1AD4">
        <w:rPr>
          <w:rFonts w:ascii="Arial" w:hAnsi="Arial" w:cs="Arial"/>
          <w:lang w:val="uk-UA"/>
        </w:rPr>
        <w:t xml:space="preserve"> </w:t>
      </w:r>
      <w:r w:rsidR="00491366" w:rsidRPr="00010978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754BA0" w:rsidRPr="00010978">
        <w:rPr>
          <w:rFonts w:ascii="Arial" w:hAnsi="Arial" w:cs="Arial"/>
          <w:iCs/>
          <w:color w:val="161515"/>
          <w:lang w:val="uk-UA"/>
        </w:rPr>
        <w:t>еншити обсяг закупівлі у межах 2</w:t>
      </w:r>
      <w:r w:rsidR="00491366" w:rsidRPr="00010978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010978" w:rsidRDefault="00CB128F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010978">
        <w:rPr>
          <w:rFonts w:ascii="Arial" w:hAnsi="Arial" w:cs="Arial"/>
          <w:iCs/>
          <w:color w:val="161515"/>
          <w:lang w:val="uk-UA"/>
        </w:rPr>
        <w:t>5</w:t>
      </w:r>
      <w:r w:rsidR="00491366" w:rsidRPr="00010978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010978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010978" w:rsidRPr="00010978">
        <w:rPr>
          <w:rFonts w:ascii="Arial" w:hAnsi="Arial" w:cs="Arial"/>
          <w:b/>
          <w:iCs/>
          <w:color w:val="161515"/>
          <w:lang w:val="uk-UA"/>
        </w:rPr>
        <w:t>конкурс</w:t>
      </w:r>
      <w:r w:rsidR="00741CD2" w:rsidRPr="00010978">
        <w:rPr>
          <w:rFonts w:ascii="Arial" w:hAnsi="Arial" w:cs="Arial"/>
          <w:b/>
          <w:iCs/>
          <w:color w:val="161515"/>
          <w:lang w:val="uk-UA"/>
        </w:rPr>
        <w:t>них</w:t>
      </w:r>
      <w:r w:rsidR="00491366" w:rsidRPr="00010978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010978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010978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DD27CD" w:rsidRPr="00010978">
        <w:rPr>
          <w:rFonts w:ascii="Arial" w:hAnsi="Arial" w:cs="Arial"/>
          <w:b/>
          <w:iCs/>
          <w:color w:val="161515"/>
          <w:lang w:val="uk-UA"/>
        </w:rPr>
        <w:t>31 липня</w:t>
      </w:r>
      <w:r w:rsidR="008E34EC" w:rsidRPr="00010978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800288" w:rsidRPr="00010978">
        <w:rPr>
          <w:rFonts w:ascii="Arial" w:hAnsi="Arial" w:cs="Arial"/>
          <w:b/>
          <w:iCs/>
          <w:color w:val="161515"/>
          <w:lang w:val="uk-UA"/>
        </w:rPr>
        <w:t>2</w:t>
      </w:r>
      <w:r w:rsidRPr="00010978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010978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DD27CD" w:rsidRPr="00010978">
        <w:rPr>
          <w:rFonts w:ascii="Arial" w:hAnsi="Arial" w:cs="Arial"/>
          <w:b/>
          <w:iCs/>
          <w:color w:val="161515"/>
          <w:lang w:val="uk-UA"/>
        </w:rPr>
        <w:t>1</w:t>
      </w:r>
      <w:r w:rsidR="00D23D65" w:rsidRPr="00010978">
        <w:rPr>
          <w:rFonts w:ascii="Arial" w:hAnsi="Arial" w:cs="Arial"/>
          <w:b/>
          <w:iCs/>
          <w:color w:val="161515"/>
          <w:lang w:val="uk-UA"/>
        </w:rPr>
        <w:t>:00</w:t>
      </w:r>
      <w:r w:rsidR="00491366" w:rsidRPr="00010978">
        <w:rPr>
          <w:rFonts w:ascii="Arial" w:hAnsi="Arial" w:cs="Arial"/>
          <w:iCs/>
          <w:color w:val="161515"/>
          <w:lang w:val="uk-UA"/>
        </w:rPr>
        <w:t xml:space="preserve">. </w:t>
      </w:r>
    </w:p>
    <w:p w:rsidR="00010978" w:rsidRPr="00010978" w:rsidRDefault="00CB128F" w:rsidP="00010978">
      <w:pPr>
        <w:jc w:val="both"/>
        <w:rPr>
          <w:rFonts w:ascii="Arial" w:hAnsi="Arial" w:cs="Arial"/>
          <w:lang w:val="uk-UA"/>
        </w:rPr>
      </w:pPr>
      <w:r w:rsidRPr="00010978">
        <w:rPr>
          <w:rFonts w:ascii="Arial" w:eastAsia="Arial" w:hAnsi="Arial" w:cs="Arial"/>
          <w:lang w:val="uk-UA"/>
        </w:rPr>
        <w:t>6</w:t>
      </w:r>
      <w:r w:rsidR="00716F83" w:rsidRPr="00010978">
        <w:rPr>
          <w:rFonts w:ascii="Arial" w:eastAsia="Arial" w:hAnsi="Arial" w:cs="Arial"/>
          <w:lang w:val="uk-UA"/>
        </w:rPr>
        <w:t>.</w:t>
      </w:r>
      <w:r w:rsidR="00716F83" w:rsidRPr="00010978">
        <w:rPr>
          <w:rFonts w:ascii="Arial" w:eastAsia="Arial" w:hAnsi="Arial" w:cs="Arial"/>
          <w:b/>
          <w:lang w:val="uk-UA"/>
        </w:rPr>
        <w:t xml:space="preserve"> </w:t>
      </w:r>
      <w:r w:rsidR="00010978" w:rsidRPr="00010978">
        <w:rPr>
          <w:rFonts w:ascii="Arial" w:hAnsi="Arial" w:cs="Arial"/>
          <w:iCs/>
          <w:color w:val="161515"/>
          <w:lang w:val="uk-UA"/>
        </w:rPr>
        <w:t xml:space="preserve">Пропозиції у </w:t>
      </w:r>
      <w:r w:rsidR="00010978" w:rsidRPr="00010978">
        <w:rPr>
          <w:rFonts w:ascii="Arial" w:hAnsi="Arial" w:cs="Arial"/>
          <w:iCs/>
          <w:lang w:val="uk-UA"/>
        </w:rPr>
        <w:t>відсканованому вигляді</w:t>
      </w:r>
      <w:r w:rsidR="00010978" w:rsidRPr="00010978">
        <w:rPr>
          <w:rFonts w:ascii="Arial" w:hAnsi="Arial" w:cs="Arial"/>
          <w:iCs/>
        </w:rPr>
        <w:t xml:space="preserve"> </w:t>
      </w:r>
      <w:r w:rsidR="00010978" w:rsidRPr="00010978">
        <w:rPr>
          <w:rFonts w:ascii="Arial" w:hAnsi="Arial" w:cs="Arial"/>
          <w:iCs/>
          <w:lang w:val="uk-UA"/>
        </w:rPr>
        <w:t>(</w:t>
      </w:r>
      <w:r w:rsidR="00010978" w:rsidRPr="00010978">
        <w:rPr>
          <w:rFonts w:ascii="Arial" w:hAnsi="Arial" w:cs="Arial"/>
          <w:lang w:val="uk-UA"/>
        </w:rPr>
        <w:t xml:space="preserve">Додатки №4.1, 4.2 та №5.1, 5.2 додатково у форматі </w:t>
      </w:r>
      <w:r w:rsidR="00010978" w:rsidRPr="00010978">
        <w:rPr>
          <w:rFonts w:ascii="Arial" w:hAnsi="Arial" w:cs="Arial"/>
        </w:rPr>
        <w:t>excel</w:t>
      </w:r>
      <w:r w:rsidR="00010978" w:rsidRPr="00010978">
        <w:rPr>
          <w:rFonts w:ascii="Arial" w:hAnsi="Arial" w:cs="Arial"/>
          <w:lang w:val="uk-UA"/>
        </w:rPr>
        <w:t>)</w:t>
      </w:r>
      <w:r w:rsidR="00010978" w:rsidRPr="00010978">
        <w:rPr>
          <w:rFonts w:ascii="Arial" w:hAnsi="Arial" w:cs="Arial"/>
          <w:iCs/>
          <w:lang w:val="uk-UA"/>
        </w:rPr>
        <w:t xml:space="preserve"> повинні надсилатись на електронну пошту</w:t>
      </w:r>
      <w:r w:rsidR="00010978" w:rsidRPr="00010978">
        <w:rPr>
          <w:rFonts w:ascii="Arial" w:hAnsi="Arial" w:cs="Arial"/>
          <w:iCs/>
          <w:color w:val="161515"/>
          <w:lang w:val="uk-UA"/>
        </w:rPr>
        <w:t xml:space="preserve">: </w:t>
      </w:r>
      <w:hyperlink r:id="rId8" w:history="1">
        <w:r w:rsidR="00010978" w:rsidRPr="00010978">
          <w:rPr>
            <w:rStyle w:val="a9"/>
            <w:rFonts w:ascii="Arial" w:hAnsi="Arial" w:cs="Arial"/>
            <w:iCs/>
            <w:lang w:val="uk-UA"/>
          </w:rPr>
          <w:t>b</w:t>
        </w:r>
        <w:r w:rsidR="00010978" w:rsidRPr="00010978">
          <w:rPr>
            <w:rStyle w:val="a9"/>
            <w:rFonts w:ascii="Arial" w:hAnsi="Arial" w:cs="Arial"/>
            <w:iCs/>
          </w:rPr>
          <w:t>laise</w:t>
        </w:r>
        <w:r w:rsidR="00010978" w:rsidRPr="00010978">
          <w:rPr>
            <w:rStyle w:val="a9"/>
            <w:rFonts w:ascii="Arial" w:hAnsi="Arial" w:cs="Arial"/>
            <w:iCs/>
            <w:lang w:val="uk-UA"/>
          </w:rPr>
          <w:t>@aph.org.ua</w:t>
        </w:r>
      </w:hyperlink>
      <w:r w:rsidR="00010978">
        <w:rPr>
          <w:rFonts w:ascii="Arial" w:hAnsi="Arial" w:cs="Arial"/>
          <w:iCs/>
          <w:lang w:val="uk-UA"/>
        </w:rPr>
        <w:t>.</w:t>
      </w:r>
    </w:p>
    <w:p w:rsidR="00491366" w:rsidRPr="00FE1AD4" w:rsidRDefault="00010978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7</w:t>
      </w:r>
      <w:r w:rsidR="00491366" w:rsidRPr="00FE1AD4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FE1AD4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FE1AD4">
        <w:rPr>
          <w:rFonts w:ascii="Arial" w:hAnsi="Arial" w:cs="Arial"/>
          <w:iCs/>
          <w:color w:val="161515"/>
          <w:lang w:val="uk-UA"/>
        </w:rPr>
        <w:t>у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 зазначені в пункті </w:t>
      </w:r>
      <w:r w:rsidR="00D1268E">
        <w:rPr>
          <w:rFonts w:ascii="Arial" w:hAnsi="Arial" w:cs="Arial"/>
          <w:iCs/>
          <w:color w:val="161515"/>
          <w:lang w:val="uk-UA"/>
        </w:rPr>
        <w:t>8</w:t>
      </w:r>
      <w:r w:rsidR="00BC6C5B" w:rsidRPr="00FE1AD4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1AD4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1AD4" w:rsidRDefault="00D1268E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8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010978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FE1AD4">
        <w:rPr>
          <w:rFonts w:ascii="Arial" w:hAnsi="Arial" w:cs="Arial"/>
          <w:iCs/>
          <w:color w:val="161515"/>
          <w:lang w:val="uk-UA"/>
        </w:rPr>
        <w:t xml:space="preserve">у 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FE1AD4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FE1AD4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FE1AD4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490DEA">
        <w:rPr>
          <w:rFonts w:ascii="Arial" w:hAnsi="Arial" w:cs="Arial"/>
          <w:iCs/>
          <w:color w:val="161515"/>
          <w:lang w:val="uk-UA"/>
        </w:rPr>
        <w:t>1</w:t>
      </w:r>
      <w:r>
        <w:rPr>
          <w:rFonts w:ascii="Arial" w:hAnsi="Arial" w:cs="Arial"/>
          <w:iCs/>
          <w:color w:val="161515"/>
          <w:lang w:val="uk-UA"/>
        </w:rPr>
        <w:t>4 серп</w:t>
      </w:r>
      <w:r w:rsidR="00B61212">
        <w:rPr>
          <w:rFonts w:ascii="Arial" w:hAnsi="Arial" w:cs="Arial"/>
          <w:iCs/>
          <w:color w:val="161515"/>
          <w:lang w:val="uk-UA"/>
        </w:rPr>
        <w:t>ня</w:t>
      </w:r>
      <w:r w:rsidR="001672A6" w:rsidRPr="00FE1AD4">
        <w:rPr>
          <w:rFonts w:ascii="Arial" w:hAnsi="Arial" w:cs="Arial"/>
          <w:iCs/>
          <w:color w:val="161515"/>
          <w:lang w:val="uk-UA"/>
        </w:rPr>
        <w:t xml:space="preserve"> </w:t>
      </w:r>
      <w:r w:rsidR="00D70E6A" w:rsidRPr="00FE1AD4">
        <w:rPr>
          <w:rFonts w:ascii="Arial" w:hAnsi="Arial" w:cs="Arial"/>
          <w:iCs/>
          <w:color w:val="161515"/>
          <w:lang w:val="uk-UA"/>
        </w:rPr>
        <w:t>20</w:t>
      </w:r>
      <w:r w:rsidR="00DC57D9" w:rsidRPr="00FE1AD4">
        <w:rPr>
          <w:rFonts w:ascii="Arial" w:hAnsi="Arial" w:cs="Arial"/>
          <w:iCs/>
          <w:color w:val="161515"/>
          <w:lang w:val="uk-UA"/>
        </w:rPr>
        <w:t>2</w:t>
      </w:r>
      <w:r w:rsidR="00B61212">
        <w:rPr>
          <w:rFonts w:ascii="Arial" w:hAnsi="Arial" w:cs="Arial"/>
          <w:iCs/>
          <w:color w:val="161515"/>
          <w:lang w:val="uk-UA"/>
        </w:rPr>
        <w:t>5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FE1AD4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FE1AD4" w:rsidRDefault="00D1268E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9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1AD4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FE1AD4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1AD4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1AD4">
        <w:rPr>
          <w:rFonts w:ascii="Arial" w:hAnsi="Arial" w:cs="Arial"/>
          <w:sz w:val="22"/>
          <w:szCs w:val="22"/>
          <w:lang w:val="uk-UA"/>
        </w:rPr>
        <w:t>1</w:t>
      </w:r>
      <w:r w:rsidR="00D1268E">
        <w:rPr>
          <w:rFonts w:ascii="Arial" w:hAnsi="Arial" w:cs="Arial"/>
          <w:sz w:val="22"/>
          <w:szCs w:val="22"/>
          <w:lang w:val="uk-UA"/>
        </w:rPr>
        <w:t>0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1AD4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1AD4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>ну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FE1AD4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1AD4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E1AD4">
        <w:rPr>
          <w:rFonts w:ascii="Arial" w:hAnsi="Arial" w:cs="Arial"/>
          <w:sz w:val="22"/>
          <w:szCs w:val="22"/>
          <w:lang w:val="uk-UA"/>
        </w:rPr>
        <w:t>1</w:t>
      </w:r>
      <w:r w:rsidR="00D1268E">
        <w:rPr>
          <w:rFonts w:ascii="Arial" w:hAnsi="Arial" w:cs="Arial"/>
          <w:sz w:val="22"/>
          <w:szCs w:val="22"/>
          <w:lang w:val="uk-UA"/>
        </w:rPr>
        <w:t>1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1AD4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 xml:space="preserve">них 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010978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FE1AD4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70E6A" w:rsidRPr="00FE1AD4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Будь-які питання стосовно цього </w:t>
      </w:r>
      <w:r w:rsidR="00010978">
        <w:rPr>
          <w:rFonts w:ascii="Arial" w:hAnsi="Arial" w:cs="Arial"/>
          <w:lang w:val="uk-UA"/>
        </w:rPr>
        <w:t>конкурс</w:t>
      </w:r>
      <w:r w:rsidR="00D70E6A" w:rsidRPr="00FE1AD4">
        <w:rPr>
          <w:rFonts w:ascii="Arial" w:hAnsi="Arial" w:cs="Arial"/>
          <w:lang w:val="uk-UA"/>
        </w:rPr>
        <w:t>у</w:t>
      </w:r>
      <w:r w:rsidRPr="00FE1AD4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FE1AD4">
        <w:rPr>
          <w:rFonts w:ascii="Arial" w:hAnsi="Arial" w:cs="Arial"/>
          <w:lang w:val="uk-UA"/>
        </w:rPr>
        <w:t xml:space="preserve">пошти: </w:t>
      </w:r>
      <w:r w:rsidR="00DC57D9" w:rsidRPr="00FE1AD4">
        <w:rPr>
          <w:rFonts w:ascii="Arial" w:hAnsi="Arial" w:cs="Arial"/>
          <w:color w:val="0000FF"/>
          <w:u w:val="single"/>
          <w:lang w:val="en-US"/>
        </w:rPr>
        <w:t>blaise</w:t>
      </w:r>
      <w:hyperlink r:id="rId9" w:history="1">
        <w:r w:rsidR="006C50D4" w:rsidRPr="00FE1AD4">
          <w:rPr>
            <w:rStyle w:val="a9"/>
            <w:rFonts w:ascii="Arial" w:hAnsi="Arial" w:cs="Arial"/>
            <w:lang w:val="uk-UA"/>
          </w:rPr>
          <w:t>@aph.org.ua</w:t>
        </w:r>
      </w:hyperlink>
      <w:r w:rsidR="00DC57D9" w:rsidRPr="00FE1AD4">
        <w:rPr>
          <w:rFonts w:ascii="Arial" w:hAnsi="Arial" w:cs="Arial"/>
          <w:color w:val="0000FF"/>
          <w:u w:val="single"/>
          <w:lang w:val="uk-UA"/>
        </w:rPr>
        <w:t>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010978">
        <w:rPr>
          <w:rFonts w:ascii="Arial" w:hAnsi="Arial" w:cs="Arial"/>
          <w:lang w:val="uk-UA"/>
        </w:rPr>
        <w:t>конкурс</w:t>
      </w:r>
      <w:r w:rsidR="00D70E6A" w:rsidRPr="00FE1AD4">
        <w:rPr>
          <w:rFonts w:ascii="Arial" w:hAnsi="Arial" w:cs="Arial"/>
          <w:lang w:val="uk-UA"/>
        </w:rPr>
        <w:t>ів</w:t>
      </w:r>
      <w:r w:rsidR="00300D89" w:rsidRPr="00FE1AD4">
        <w:rPr>
          <w:rFonts w:ascii="Arial" w:hAnsi="Arial" w:cs="Arial"/>
          <w:lang w:val="uk-UA"/>
        </w:rPr>
        <w:t xml:space="preserve"> </w:t>
      </w:r>
      <w:r w:rsidR="00D1268E">
        <w:rPr>
          <w:rFonts w:ascii="Arial" w:hAnsi="Arial" w:cs="Arial"/>
          <w:lang w:val="uk-UA"/>
        </w:rPr>
        <w:t>28</w:t>
      </w:r>
      <w:r w:rsidR="00502FD8">
        <w:rPr>
          <w:rFonts w:ascii="Arial" w:hAnsi="Arial" w:cs="Arial"/>
          <w:lang w:val="uk-UA"/>
        </w:rPr>
        <w:t>.0</w:t>
      </w:r>
      <w:r w:rsidR="00D1268E">
        <w:rPr>
          <w:rFonts w:ascii="Arial" w:hAnsi="Arial" w:cs="Arial"/>
          <w:lang w:val="uk-UA"/>
        </w:rPr>
        <w:t>7</w:t>
      </w:r>
      <w:bookmarkStart w:id="0" w:name="_GoBack"/>
      <w:bookmarkEnd w:id="0"/>
      <w:r w:rsidR="00502FD8">
        <w:rPr>
          <w:rFonts w:ascii="Arial" w:hAnsi="Arial" w:cs="Arial"/>
          <w:lang w:val="uk-UA"/>
        </w:rPr>
        <w:t>.2025</w:t>
      </w:r>
      <w:r w:rsidR="00284A66" w:rsidRPr="00FE1AD4">
        <w:rPr>
          <w:rFonts w:ascii="Arial" w:hAnsi="Arial" w:cs="Arial"/>
          <w:lang w:val="uk-UA"/>
        </w:rPr>
        <w:t xml:space="preserve"> року </w:t>
      </w:r>
      <w:r w:rsidRPr="00FE1AD4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010978">
        <w:rPr>
          <w:rFonts w:ascii="Arial" w:hAnsi="Arial" w:cs="Arial"/>
          <w:lang w:val="uk-UA"/>
        </w:rPr>
        <w:t>конкурс</w:t>
      </w:r>
      <w:r w:rsidR="00D70E6A" w:rsidRPr="00FE1AD4">
        <w:rPr>
          <w:rFonts w:ascii="Arial" w:hAnsi="Arial" w:cs="Arial"/>
          <w:lang w:val="uk-UA"/>
        </w:rPr>
        <w:t>у</w:t>
      </w:r>
      <w:r w:rsidRPr="00FE1AD4">
        <w:rPr>
          <w:rFonts w:ascii="Arial" w:hAnsi="Arial" w:cs="Arial"/>
          <w:lang w:val="uk-UA"/>
        </w:rPr>
        <w:t>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010978">
        <w:rPr>
          <w:rFonts w:ascii="Arial" w:hAnsi="Arial" w:cs="Arial"/>
          <w:lang w:val="uk-UA"/>
        </w:rPr>
        <w:t>конкурс</w:t>
      </w:r>
      <w:r w:rsidR="00D70E6A" w:rsidRPr="00FE1AD4">
        <w:rPr>
          <w:rFonts w:ascii="Arial" w:hAnsi="Arial" w:cs="Arial"/>
          <w:lang w:val="uk-UA"/>
        </w:rPr>
        <w:t>у</w:t>
      </w:r>
      <w:r w:rsidRPr="00FE1AD4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FE1AD4" w:rsidRDefault="00491366" w:rsidP="00502FD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Додатки: </w:t>
      </w:r>
    </w:p>
    <w:p w:rsidR="00E42C10" w:rsidRPr="00FE1AD4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>Оголошення</w:t>
      </w:r>
    </w:p>
    <w:p w:rsidR="00491366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>Специфікація з відповідними додатками.</w:t>
      </w:r>
    </w:p>
    <w:p w:rsidR="00502FD8" w:rsidRPr="00FE1AD4" w:rsidRDefault="00502FD8" w:rsidP="00502FD8">
      <w:pPr>
        <w:spacing w:after="0" w:line="240" w:lineRule="auto"/>
        <w:ind w:left="720"/>
        <w:jc w:val="both"/>
        <w:rPr>
          <w:rFonts w:ascii="Arial" w:hAnsi="Arial" w:cs="Arial"/>
          <w:lang w:val="uk-UA"/>
        </w:rPr>
      </w:pPr>
    </w:p>
    <w:p w:rsidR="00DC57D9" w:rsidRPr="00502FD8" w:rsidRDefault="00491366" w:rsidP="00502FD8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FE1AD4">
        <w:rPr>
          <w:rFonts w:ascii="Arial" w:hAnsi="Arial" w:cs="Arial"/>
          <w:b/>
          <w:iCs/>
          <w:color w:val="0000FF"/>
          <w:lang w:val="uk-UA"/>
        </w:rPr>
        <w:t xml:space="preserve">Будь ласка, сповістіть </w:t>
      </w:r>
      <w:r w:rsidR="00DC57D9" w:rsidRPr="00FE1AD4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  <w:bookmarkStart w:id="1" w:name="_MailAutoSig"/>
    </w:p>
    <w:bookmarkEnd w:id="1"/>
    <w:sectPr w:rsidR="00DC57D9" w:rsidRPr="00502FD8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71EFF"/>
    <w:multiLevelType w:val="multilevel"/>
    <w:tmpl w:val="F59630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00C3B"/>
    <w:rsid w:val="00010978"/>
    <w:rsid w:val="0001268E"/>
    <w:rsid w:val="00044051"/>
    <w:rsid w:val="00060BD7"/>
    <w:rsid w:val="000704F2"/>
    <w:rsid w:val="000819BE"/>
    <w:rsid w:val="00082C71"/>
    <w:rsid w:val="00093CF6"/>
    <w:rsid w:val="000A4E56"/>
    <w:rsid w:val="000F6DE3"/>
    <w:rsid w:val="00153123"/>
    <w:rsid w:val="00157B11"/>
    <w:rsid w:val="001642EA"/>
    <w:rsid w:val="001672A6"/>
    <w:rsid w:val="001722A9"/>
    <w:rsid w:val="0017701C"/>
    <w:rsid w:val="00181615"/>
    <w:rsid w:val="001A5875"/>
    <w:rsid w:val="001C4DCF"/>
    <w:rsid w:val="001D43A6"/>
    <w:rsid w:val="001F1128"/>
    <w:rsid w:val="00203BDE"/>
    <w:rsid w:val="00241B0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0DEA"/>
    <w:rsid w:val="00491366"/>
    <w:rsid w:val="004B78C5"/>
    <w:rsid w:val="004F0F04"/>
    <w:rsid w:val="004F38DB"/>
    <w:rsid w:val="00502FD8"/>
    <w:rsid w:val="00516B51"/>
    <w:rsid w:val="005437D0"/>
    <w:rsid w:val="00546C04"/>
    <w:rsid w:val="00554E57"/>
    <w:rsid w:val="00557350"/>
    <w:rsid w:val="00577FF6"/>
    <w:rsid w:val="0058666D"/>
    <w:rsid w:val="00587065"/>
    <w:rsid w:val="006042E1"/>
    <w:rsid w:val="006164BA"/>
    <w:rsid w:val="00627AFA"/>
    <w:rsid w:val="00653E5A"/>
    <w:rsid w:val="00655BCB"/>
    <w:rsid w:val="00697355"/>
    <w:rsid w:val="006C3A24"/>
    <w:rsid w:val="006C50D4"/>
    <w:rsid w:val="006D4BEF"/>
    <w:rsid w:val="00716F83"/>
    <w:rsid w:val="007220AA"/>
    <w:rsid w:val="00741CD2"/>
    <w:rsid w:val="00750E9A"/>
    <w:rsid w:val="00754BA0"/>
    <w:rsid w:val="0075741B"/>
    <w:rsid w:val="00766D21"/>
    <w:rsid w:val="0078118F"/>
    <w:rsid w:val="00786CAD"/>
    <w:rsid w:val="007A2AD4"/>
    <w:rsid w:val="007A4EFD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126C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5442A"/>
    <w:rsid w:val="00B61212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B128F"/>
    <w:rsid w:val="00CC3AB1"/>
    <w:rsid w:val="00CF596D"/>
    <w:rsid w:val="00D1268E"/>
    <w:rsid w:val="00D23D65"/>
    <w:rsid w:val="00D26579"/>
    <w:rsid w:val="00D2747F"/>
    <w:rsid w:val="00D70E6A"/>
    <w:rsid w:val="00DC0164"/>
    <w:rsid w:val="00DC57D9"/>
    <w:rsid w:val="00DD27CD"/>
    <w:rsid w:val="00DF02A1"/>
    <w:rsid w:val="00DF159C"/>
    <w:rsid w:val="00E13319"/>
    <w:rsid w:val="00E305CE"/>
    <w:rsid w:val="00E42C10"/>
    <w:rsid w:val="00E66E52"/>
    <w:rsid w:val="00ED10B6"/>
    <w:rsid w:val="00F74A12"/>
    <w:rsid w:val="00F83F99"/>
    <w:rsid w:val="00FB1047"/>
    <w:rsid w:val="00FC2B79"/>
    <w:rsid w:val="00FC51AA"/>
    <w:rsid w:val="00FE1AD4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3838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741CD2"/>
    <w:pPr>
      <w:ind w:left="720"/>
      <w:contextualSpacing/>
    </w:pPr>
  </w:style>
  <w:style w:type="paragraph" w:styleId="ad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и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DC016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2350</Words>
  <Characters>1341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107</cp:revision>
  <cp:lastPrinted>2015-12-11T16:23:00Z</cp:lastPrinted>
  <dcterms:created xsi:type="dcterms:W3CDTF">2017-08-22T12:05:00Z</dcterms:created>
  <dcterms:modified xsi:type="dcterms:W3CDTF">2025-07-16T11:38:00Z</dcterms:modified>
</cp:coreProperties>
</file>