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8D3456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BE2E8E">
        <w:rPr>
          <w:rFonts w:ascii="Times New Roman" w:hAnsi="Times New Roman"/>
          <w:b/>
          <w:i/>
          <w:iCs/>
          <w:color w:val="161515"/>
          <w:lang w:val="uk-UA"/>
        </w:rPr>
        <w:t xml:space="preserve">пакетів </w:t>
      </w:r>
      <w:r w:rsidR="00BE2E8E" w:rsidRPr="00BE2E8E">
        <w:rPr>
          <w:rFonts w:ascii="Times New Roman" w:hAnsi="Times New Roman"/>
          <w:b/>
          <w:i/>
          <w:iCs/>
          <w:color w:val="161515"/>
          <w:lang w:val="uk-UA"/>
        </w:rPr>
        <w:t>Zip-Lock</w:t>
      </w:r>
      <w:r w:rsidR="00BE2E8E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tbl>
      <w:tblPr>
        <w:tblW w:w="98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1"/>
        <w:gridCol w:w="2751"/>
        <w:gridCol w:w="4118"/>
        <w:gridCol w:w="2227"/>
      </w:tblGrid>
      <w:tr w:rsidR="00F9402E" w:rsidRPr="00E72E3F" w:rsidTr="001B0B9A">
        <w:trPr>
          <w:trHeight w:val="755"/>
        </w:trPr>
        <w:tc>
          <w:tcPr>
            <w:tcW w:w="721" w:type="dxa"/>
            <w:shd w:val="clear" w:color="auto" w:fill="D9D9D9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E72E3F">
              <w:rPr>
                <w:rFonts w:ascii="Arial" w:hAnsi="Arial" w:cs="Arial"/>
                <w:b/>
                <w:lang w:val="uk-UA"/>
              </w:rPr>
              <w:t>№ лоту</w:t>
            </w:r>
          </w:p>
        </w:tc>
        <w:tc>
          <w:tcPr>
            <w:tcW w:w="2751" w:type="dxa"/>
            <w:shd w:val="clear" w:color="auto" w:fill="D9D9D9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 w:rsidRPr="00E72E3F">
              <w:rPr>
                <w:rFonts w:ascii="Arial" w:hAnsi="Arial" w:cs="Arial"/>
                <w:b/>
                <w:lang w:val="uk-UA"/>
              </w:rPr>
              <w:t xml:space="preserve">Опис продукту </w:t>
            </w:r>
          </w:p>
        </w:tc>
        <w:tc>
          <w:tcPr>
            <w:tcW w:w="4118" w:type="dxa"/>
            <w:shd w:val="clear" w:color="auto" w:fill="D9D9D9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  <w:r>
              <w:rPr>
                <w:rFonts w:ascii="Arial" w:hAnsi="Arial" w:cs="Arial"/>
                <w:b/>
                <w:lang w:val="uk-UA"/>
              </w:rPr>
              <w:t xml:space="preserve">Технічні характеристики </w:t>
            </w:r>
          </w:p>
        </w:tc>
        <w:tc>
          <w:tcPr>
            <w:tcW w:w="2227" w:type="dxa"/>
            <w:shd w:val="clear" w:color="auto" w:fill="D9D9D9"/>
          </w:tcPr>
          <w:p w:rsidR="00F9402E" w:rsidRPr="00AC6416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72E3F">
              <w:rPr>
                <w:rFonts w:ascii="Arial" w:hAnsi="Arial" w:cs="Arial"/>
                <w:b/>
                <w:lang w:val="uk-UA"/>
              </w:rPr>
              <w:t>Кількість одиниць</w:t>
            </w:r>
            <w:r>
              <w:rPr>
                <w:rFonts w:ascii="Arial" w:hAnsi="Arial" w:cs="Arial"/>
                <w:b/>
                <w:lang w:val="uk-UA"/>
              </w:rPr>
              <w:t>, шт.</w:t>
            </w:r>
          </w:p>
        </w:tc>
      </w:tr>
      <w:tr w:rsidR="00F9402E" w:rsidRPr="00E72E3F" w:rsidTr="001B0B9A">
        <w:trPr>
          <w:trHeight w:val="555"/>
        </w:trPr>
        <w:tc>
          <w:tcPr>
            <w:tcW w:w="721" w:type="dxa"/>
            <w:shd w:val="clear" w:color="auto" w:fill="auto"/>
            <w:vAlign w:val="center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b/>
                <w:lang w:val="uk-UA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lang w:val="uk-UA"/>
              </w:rPr>
            </w:pPr>
            <w:r w:rsidRPr="00F2691B">
              <w:rPr>
                <w:rFonts w:ascii="Arial" w:hAnsi="Arial" w:cs="Arial"/>
                <w:lang w:val="ru-RU"/>
              </w:rPr>
              <w:t xml:space="preserve">Пакети з замком зіп </w:t>
            </w:r>
            <w:r>
              <w:rPr>
                <w:rFonts w:ascii="Arial" w:hAnsi="Arial" w:cs="Arial"/>
              </w:rPr>
              <w:t>Zip</w:t>
            </w:r>
            <w:r w:rsidRPr="00F2691B">
              <w:rPr>
                <w:rFonts w:ascii="Arial" w:hAnsi="Arial" w:cs="Arial"/>
                <w:lang w:val="ru-RU"/>
              </w:rPr>
              <w:t>-</w:t>
            </w:r>
            <w:r>
              <w:rPr>
                <w:rFonts w:ascii="Arial" w:hAnsi="Arial" w:cs="Arial"/>
              </w:rPr>
              <w:t>Lock</w:t>
            </w:r>
          </w:p>
        </w:tc>
        <w:tc>
          <w:tcPr>
            <w:tcW w:w="4118" w:type="dxa"/>
            <w:vAlign w:val="center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kern w:val="32"/>
                <w:lang w:val="uk-UA"/>
              </w:rPr>
            </w:pPr>
            <w:r>
              <w:rPr>
                <w:rFonts w:ascii="Arial" w:eastAsia="Arial" w:hAnsi="Arial" w:cs="Arial"/>
                <w:b/>
                <w:bCs/>
                <w:kern w:val="32"/>
              </w:rPr>
              <w:t>30х40</w:t>
            </w:r>
            <w:r>
              <w:rPr>
                <w:rFonts w:ascii="Arial" w:eastAsia="Arial" w:hAnsi="Arial" w:cs="Arial"/>
                <w:b/>
                <w:bCs/>
                <w:kern w:val="32"/>
                <w:lang w:val="uk-UA"/>
              </w:rPr>
              <w:t xml:space="preserve"> см. </w:t>
            </w:r>
            <w:r>
              <w:rPr>
                <w:rFonts w:ascii="Arial" w:eastAsia="Arial" w:hAnsi="Arial" w:cs="Arial"/>
                <w:b/>
                <w:bCs/>
                <w:kern w:val="32"/>
              </w:rPr>
              <w:t>/50 мкм.</w:t>
            </w:r>
          </w:p>
        </w:tc>
        <w:tc>
          <w:tcPr>
            <w:tcW w:w="2227" w:type="dxa"/>
            <w:vAlign w:val="center"/>
          </w:tcPr>
          <w:p w:rsidR="00F9402E" w:rsidRPr="00E72E3F" w:rsidRDefault="00F9402E" w:rsidP="001B0B9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>
              <w:rPr>
                <w:rFonts w:ascii="Arial" w:hAnsi="Arial" w:cs="Arial"/>
              </w:rPr>
              <w:t xml:space="preserve">63 400 </w:t>
            </w:r>
          </w:p>
        </w:tc>
      </w:tr>
    </w:tbl>
    <w:p w:rsidR="00F9402E" w:rsidRPr="00AA36E5" w:rsidRDefault="00F9402E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bookmarkStart w:id="0" w:name="_GoBack"/>
      <w:bookmarkEnd w:id="0"/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BE2E8E">
        <w:rPr>
          <w:rFonts w:ascii="Times New Roman" w:hAnsi="Times New Roman"/>
          <w:i/>
          <w:iCs/>
          <w:color w:val="161515"/>
          <w:lang w:val="uk-UA"/>
        </w:rPr>
        <w:t xml:space="preserve">у гривнях без урахування ПДВ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E82F30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</w:t>
      </w:r>
      <w:r w:rsidR="00F9402E" w:rsidRPr="00F9402E">
        <w:rPr>
          <w:rFonts w:ascii="Times New Roman" w:hAnsi="Times New Roman"/>
          <w:b/>
          <w:i/>
          <w:iCs/>
          <w:color w:val="161515"/>
          <w:lang w:val="ru-RU"/>
        </w:rPr>
        <w:t xml:space="preserve">30 </w:t>
      </w:r>
      <w:r w:rsidR="00F9402E">
        <w:rPr>
          <w:rFonts w:ascii="Times New Roman" w:hAnsi="Times New Roman"/>
          <w:b/>
          <w:i/>
          <w:iCs/>
          <w:color w:val="161515"/>
        </w:rPr>
        <w:t>c</w:t>
      </w:r>
      <w:r w:rsidR="00F9402E">
        <w:rPr>
          <w:rFonts w:ascii="Times New Roman" w:hAnsi="Times New Roman"/>
          <w:b/>
          <w:i/>
          <w:iCs/>
          <w:color w:val="161515"/>
          <w:lang w:val="uk-UA"/>
        </w:rPr>
        <w:t>іч</w:t>
      </w:r>
      <w:r w:rsidR="00E82F30">
        <w:rPr>
          <w:rFonts w:ascii="Times New Roman" w:hAnsi="Times New Roman"/>
          <w:b/>
          <w:i/>
          <w:iCs/>
          <w:color w:val="161515"/>
          <w:lang w:val="uk-UA"/>
        </w:rPr>
        <w:t>ня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F9402E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D53A18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9E33BA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7B29C5" w:rsidRPr="00E72D55">
        <w:rPr>
          <w:rFonts w:ascii="Times New Roman" w:hAnsi="Times New Roman"/>
          <w:i/>
          <w:iCs/>
          <w:color w:val="161515"/>
          <w:lang w:val="uk-UA"/>
        </w:rPr>
        <w:t xml:space="preserve">пізніше </w:t>
      </w:r>
      <w:r w:rsidR="00F9402E" w:rsidRPr="00F9402E">
        <w:rPr>
          <w:rFonts w:ascii="Times New Roman" w:hAnsi="Times New Roman"/>
          <w:i/>
          <w:iCs/>
          <w:color w:val="161515"/>
          <w:lang w:val="uk-UA"/>
        </w:rPr>
        <w:t>31.01.2025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F9402E" w:rsidRDefault="00407777" w:rsidP="0022371B">
      <w:pPr>
        <w:tabs>
          <w:tab w:val="left" w:pos="709"/>
        </w:tabs>
        <w:jc w:val="both"/>
        <w:rPr>
          <w:i/>
          <w:iCs/>
          <w:lang w:val="ru-RU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9E33BA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1,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E82F3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F9402E" w:rsidRPr="00CD19C9">
          <w:rPr>
            <w:rStyle w:val="a9"/>
            <w:rFonts w:ascii="Times New Roman" w:hAnsi="Times New Roman"/>
            <w:i/>
            <w:iCs/>
          </w:rPr>
          <w:t>krylova</w:t>
        </w:r>
        <w:r w:rsidR="00F9402E" w:rsidRPr="00CD19C9">
          <w:rPr>
            <w:rStyle w:val="a9"/>
            <w:rFonts w:ascii="Times New Roman" w:hAnsi="Times New Roman"/>
            <w:i/>
            <w:iCs/>
            <w:lang w:val="ru-RU"/>
          </w:rPr>
          <w:t>@</w:t>
        </w:r>
        <w:r w:rsidR="00F9402E" w:rsidRPr="00CD19C9">
          <w:rPr>
            <w:rStyle w:val="a9"/>
            <w:rFonts w:ascii="Times New Roman" w:hAnsi="Times New Roman"/>
            <w:i/>
            <w:iCs/>
          </w:rPr>
          <w:t>aph</w:t>
        </w:r>
        <w:r w:rsidR="00F9402E" w:rsidRPr="00F9402E">
          <w:rPr>
            <w:rStyle w:val="a9"/>
            <w:rFonts w:ascii="Times New Roman" w:hAnsi="Times New Roman"/>
            <w:i/>
            <w:iCs/>
            <w:lang w:val="ru-RU"/>
          </w:rPr>
          <w:t>.</w:t>
        </w:r>
        <w:r w:rsidR="00F9402E" w:rsidRPr="00CD19C9">
          <w:rPr>
            <w:rStyle w:val="a9"/>
            <w:rFonts w:ascii="Times New Roman" w:hAnsi="Times New Roman"/>
            <w:i/>
            <w:iCs/>
          </w:rPr>
          <w:t>org</w:t>
        </w:r>
        <w:r w:rsidR="00F9402E" w:rsidRPr="00F9402E">
          <w:rPr>
            <w:rStyle w:val="a9"/>
            <w:rFonts w:ascii="Times New Roman" w:hAnsi="Times New Roman"/>
            <w:i/>
            <w:iCs/>
            <w:lang w:val="ru-RU"/>
          </w:rPr>
          <w:t>.</w:t>
        </w:r>
        <w:r w:rsidR="00F9402E" w:rsidRPr="00CD19C9">
          <w:rPr>
            <w:rStyle w:val="a9"/>
            <w:rFonts w:ascii="Times New Roman" w:hAnsi="Times New Roman"/>
            <w:i/>
            <w:iCs/>
          </w:rPr>
          <w:t>ua</w:t>
        </w:r>
      </w:hyperlink>
      <w:r w:rsidR="00F9402E" w:rsidRPr="00F9402E">
        <w:rPr>
          <w:rFonts w:ascii="Times New Roman" w:hAnsi="Times New Roman"/>
          <w:i/>
          <w:iCs/>
          <w:color w:val="161515"/>
          <w:lang w:val="ru-RU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>пошти:</w:t>
      </w:r>
      <w:r w:rsidR="00F9402E" w:rsidRPr="00407777">
        <w:rPr>
          <w:rFonts w:ascii="Times New Roman" w:hAnsi="Times New Roman" w:cs="Times New Roman"/>
          <w:i/>
          <w:lang w:val="uk-UA"/>
        </w:rPr>
        <w:t xml:space="preserve"> </w:t>
      </w:r>
      <w:hyperlink r:id="rId9" w:history="1">
        <w:r w:rsidR="00F9402E" w:rsidRPr="00CD19C9">
          <w:rPr>
            <w:rStyle w:val="a9"/>
            <w:rFonts w:ascii="Times New Roman" w:hAnsi="Times New Roman"/>
            <w:i/>
            <w:iCs/>
          </w:rPr>
          <w:t>krylova</w:t>
        </w:r>
        <w:r w:rsidR="00F9402E" w:rsidRPr="00CD19C9">
          <w:rPr>
            <w:rStyle w:val="a9"/>
            <w:rFonts w:ascii="Times New Roman" w:hAnsi="Times New Roman"/>
            <w:i/>
            <w:iCs/>
            <w:lang w:val="ru-RU"/>
          </w:rPr>
          <w:t>@</w:t>
        </w:r>
        <w:r w:rsidR="00F9402E" w:rsidRPr="00CD19C9">
          <w:rPr>
            <w:rStyle w:val="a9"/>
            <w:rFonts w:ascii="Times New Roman" w:hAnsi="Times New Roman"/>
            <w:i/>
            <w:iCs/>
          </w:rPr>
          <w:t>aph</w:t>
        </w:r>
        <w:r w:rsidR="00F9402E" w:rsidRPr="00F9402E">
          <w:rPr>
            <w:rStyle w:val="a9"/>
            <w:rFonts w:ascii="Times New Roman" w:hAnsi="Times New Roman"/>
            <w:i/>
            <w:iCs/>
            <w:lang w:val="ru-RU"/>
          </w:rPr>
          <w:t>.</w:t>
        </w:r>
        <w:r w:rsidR="00F9402E" w:rsidRPr="00CD19C9">
          <w:rPr>
            <w:rStyle w:val="a9"/>
            <w:rFonts w:ascii="Times New Roman" w:hAnsi="Times New Roman"/>
            <w:i/>
            <w:iCs/>
          </w:rPr>
          <w:t>org</w:t>
        </w:r>
        <w:r w:rsidR="00F9402E" w:rsidRPr="00F9402E">
          <w:rPr>
            <w:rStyle w:val="a9"/>
            <w:rFonts w:ascii="Times New Roman" w:hAnsi="Times New Roman"/>
            <w:i/>
            <w:iCs/>
            <w:lang w:val="ru-RU"/>
          </w:rPr>
          <w:t>.</w:t>
        </w:r>
        <w:r w:rsidR="00F9402E" w:rsidRPr="00CD19C9">
          <w:rPr>
            <w:rStyle w:val="a9"/>
            <w:rFonts w:ascii="Times New Roman" w:hAnsi="Times New Roman"/>
            <w:i/>
            <w:iCs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lastRenderedPageBreak/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F9402E" w:rsidRPr="00F9402E">
        <w:rPr>
          <w:rFonts w:ascii="Times New Roman" w:hAnsi="Times New Roman"/>
          <w:b/>
          <w:i/>
          <w:iCs/>
          <w:color w:val="161515"/>
          <w:lang w:val="ru-RU"/>
        </w:rPr>
        <w:t>28</w:t>
      </w:r>
      <w:r w:rsidR="00F9402E" w:rsidRPr="00F9402E">
        <w:rPr>
          <w:rFonts w:ascii="Times New Roman" w:hAnsi="Times New Roman"/>
          <w:b/>
          <w:i/>
          <w:iCs/>
          <w:color w:val="161515"/>
          <w:lang w:val="ru-RU"/>
        </w:rPr>
        <w:t xml:space="preserve"> </w:t>
      </w:r>
      <w:r w:rsidR="00F9402E">
        <w:rPr>
          <w:rFonts w:ascii="Times New Roman" w:hAnsi="Times New Roman"/>
          <w:b/>
          <w:i/>
          <w:iCs/>
          <w:color w:val="161515"/>
        </w:rPr>
        <w:t>c</w:t>
      </w:r>
      <w:r w:rsidR="00F9402E">
        <w:rPr>
          <w:rFonts w:ascii="Times New Roman" w:hAnsi="Times New Roman"/>
          <w:b/>
          <w:i/>
          <w:iCs/>
          <w:color w:val="161515"/>
          <w:lang w:val="uk-UA"/>
        </w:rPr>
        <w:t>ічня 2025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AC254F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1EF35FCD" wp14:editId="79AF0AD2">
            <wp:simplePos x="0" y="0"/>
            <wp:positionH relativeFrom="margin">
              <wp:posOffset>-207010</wp:posOffset>
            </wp:positionH>
            <wp:positionV relativeFrom="paragraph">
              <wp:posOffset>231775</wp:posOffset>
            </wp:positionV>
            <wp:extent cx="1593850" cy="6604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E82F30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E82F30" w:rsidRDefault="00E82F30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704F2"/>
    <w:rsid w:val="00093CF6"/>
    <w:rsid w:val="000B2DA9"/>
    <w:rsid w:val="000E16EB"/>
    <w:rsid w:val="000F6DE3"/>
    <w:rsid w:val="00153123"/>
    <w:rsid w:val="001722A9"/>
    <w:rsid w:val="00181615"/>
    <w:rsid w:val="001F1128"/>
    <w:rsid w:val="001F4F30"/>
    <w:rsid w:val="00206D07"/>
    <w:rsid w:val="0022371B"/>
    <w:rsid w:val="00227149"/>
    <w:rsid w:val="00284A66"/>
    <w:rsid w:val="002B4EF7"/>
    <w:rsid w:val="002D7477"/>
    <w:rsid w:val="002E3609"/>
    <w:rsid w:val="00312D72"/>
    <w:rsid w:val="00313B84"/>
    <w:rsid w:val="0031591B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E6B20"/>
    <w:rsid w:val="00406E64"/>
    <w:rsid w:val="00407777"/>
    <w:rsid w:val="0047556B"/>
    <w:rsid w:val="0049136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653E5A"/>
    <w:rsid w:val="00655FC1"/>
    <w:rsid w:val="00697355"/>
    <w:rsid w:val="006C3A24"/>
    <w:rsid w:val="006C50D4"/>
    <w:rsid w:val="007220AA"/>
    <w:rsid w:val="00745EF5"/>
    <w:rsid w:val="00750E9A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75068"/>
    <w:rsid w:val="009B4DE6"/>
    <w:rsid w:val="009E33BA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BE2E8E"/>
    <w:rsid w:val="00C033CD"/>
    <w:rsid w:val="00C148D2"/>
    <w:rsid w:val="00C36E7C"/>
    <w:rsid w:val="00C46328"/>
    <w:rsid w:val="00C574EC"/>
    <w:rsid w:val="00CF596D"/>
    <w:rsid w:val="00D26579"/>
    <w:rsid w:val="00D2747F"/>
    <w:rsid w:val="00D53A18"/>
    <w:rsid w:val="00DF02A1"/>
    <w:rsid w:val="00DF159C"/>
    <w:rsid w:val="00E13319"/>
    <w:rsid w:val="00E206AA"/>
    <w:rsid w:val="00E2770A"/>
    <w:rsid w:val="00E66E52"/>
    <w:rsid w:val="00E72D55"/>
    <w:rsid w:val="00E82F30"/>
    <w:rsid w:val="00E858E0"/>
    <w:rsid w:val="00ED10B6"/>
    <w:rsid w:val="00F57E9C"/>
    <w:rsid w:val="00F74A12"/>
    <w:rsid w:val="00F83F99"/>
    <w:rsid w:val="00F9032A"/>
    <w:rsid w:val="00F9402E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4FEC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l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krylova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2250</Words>
  <Characters>1283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Krylova Tetiana</cp:lastModifiedBy>
  <cp:revision>10</cp:revision>
  <cp:lastPrinted>2015-12-11T16:23:00Z</cp:lastPrinted>
  <dcterms:created xsi:type="dcterms:W3CDTF">2023-06-28T11:37:00Z</dcterms:created>
  <dcterms:modified xsi:type="dcterms:W3CDTF">2025-01-17T12:03:00Z</dcterms:modified>
</cp:coreProperties>
</file>