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E83ABB" w:rsidRPr="00E83ABB" w:rsidRDefault="005E7928" w:rsidP="00E83ABB">
      <w:pPr>
        <w:spacing w:after="0" w:line="240" w:lineRule="auto"/>
        <w:jc w:val="both"/>
        <w:rPr>
          <w:rFonts w:ascii="Arial" w:hAnsi="Arial" w:cs="Arial"/>
          <w:i/>
          <w:lang w:val="uk-UA"/>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5E7928">
        <w:rPr>
          <w:rFonts w:ascii="Arial" w:hAnsi="Arial" w:cs="Arial"/>
          <w:i/>
          <w:iCs/>
          <w:color w:val="161515"/>
          <w:lang w:val="uk-UA"/>
        </w:rPr>
        <w:t xml:space="preserve">оголошує </w:t>
      </w:r>
      <w:r w:rsidRPr="00E83ABB">
        <w:rPr>
          <w:rFonts w:ascii="Arial" w:hAnsi="Arial" w:cs="Arial"/>
          <w:i/>
          <w:iCs/>
          <w:color w:val="161515"/>
          <w:lang w:val="uk-UA"/>
        </w:rPr>
        <w:t xml:space="preserve">конкурс </w:t>
      </w:r>
      <w:r w:rsidR="00E83ABB" w:rsidRPr="00E83ABB">
        <w:rPr>
          <w:rFonts w:ascii="Arial" w:hAnsi="Arial" w:cs="Arial"/>
          <w:i/>
          <w:lang w:val="uk-UA"/>
        </w:rPr>
        <w:t>по закупівлі Macbook Apple M4</w:t>
      </w:r>
      <w:r w:rsidR="00E83ABB">
        <w:rPr>
          <w:rFonts w:ascii="Arial" w:hAnsi="Arial" w:cs="Arial"/>
          <w:i/>
          <w:lang w:val="uk-UA"/>
        </w:rPr>
        <w:t>.</w:t>
      </w:r>
    </w:p>
    <w:p w:rsidR="00E83ABB" w:rsidRPr="00C6747B" w:rsidRDefault="00E83ABB" w:rsidP="00E83ABB">
      <w:pPr>
        <w:spacing w:after="0" w:line="240" w:lineRule="auto"/>
        <w:jc w:val="center"/>
        <w:rPr>
          <w:rFonts w:ascii="Arial" w:hAnsi="Arial" w:cs="Arial"/>
          <w:b/>
          <w:sz w:val="16"/>
          <w:szCs w:val="16"/>
          <w:lang w:val="uk-UA"/>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доларах США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4. </w:t>
      </w:r>
      <w:r w:rsidRPr="00995BBF">
        <w:rPr>
          <w:rFonts w:ascii="Arial" w:hAnsi="Arial" w:cs="Arial"/>
          <w:b/>
          <w:i/>
          <w:lang w:val="uk-UA"/>
        </w:rPr>
        <w:t xml:space="preserve">Постачальник буде обиратися по кожному лоту окремо. </w:t>
      </w:r>
      <w:r w:rsidRPr="00995BBF">
        <w:rPr>
          <w:rFonts w:ascii="Arial" w:hAnsi="Arial" w:cs="Arial"/>
          <w:i/>
          <w:lang w:val="uk-UA"/>
        </w:rPr>
        <w:t>Можна надавати пропозиції як по всім лотам так і по окремим.</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5.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Pr="00A01F04" w:rsidRDefault="005E7928" w:rsidP="00AF0189">
      <w:pPr>
        <w:pStyle w:val="af"/>
        <w:jc w:val="both"/>
        <w:rPr>
          <w:rFonts w:ascii="Arial" w:hAnsi="Arial" w:cs="Arial"/>
          <w:i/>
          <w:color w:val="002060"/>
          <w:lang w:val="uk-UA"/>
        </w:rPr>
      </w:pPr>
      <w:r w:rsidRPr="00995BBF">
        <w:rPr>
          <w:rFonts w:ascii="Arial" w:hAnsi="Arial" w:cs="Arial"/>
          <w:i/>
          <w:lang w:val="uk-UA"/>
        </w:rPr>
        <w:t xml:space="preserve">6. </w:t>
      </w:r>
      <w:r w:rsidRPr="00A01F04">
        <w:rPr>
          <w:rFonts w:ascii="Arial" w:hAnsi="Arial" w:cs="Arial"/>
          <w:b/>
          <w:i/>
          <w:color w:val="002060"/>
          <w:lang w:val="uk-UA"/>
        </w:rPr>
        <w:t xml:space="preserve">Кінцевий термін подання конкурсних комерційних пропозицій </w:t>
      </w:r>
      <w:r w:rsidRPr="00A01F04">
        <w:rPr>
          <w:rFonts w:ascii="Arial" w:hAnsi="Arial" w:cs="Arial"/>
          <w:i/>
          <w:color w:val="002060"/>
          <w:lang w:val="uk-UA"/>
        </w:rPr>
        <w:t xml:space="preserve">- </w:t>
      </w:r>
      <w:r w:rsidRPr="00A01F04">
        <w:rPr>
          <w:rFonts w:ascii="Arial" w:hAnsi="Arial" w:cs="Arial"/>
          <w:b/>
          <w:i/>
          <w:color w:val="002060"/>
          <w:lang w:val="uk-UA"/>
        </w:rPr>
        <w:t xml:space="preserve">не пізніше </w:t>
      </w:r>
      <w:r w:rsidR="0060699A" w:rsidRPr="00A01F04">
        <w:rPr>
          <w:rFonts w:ascii="Arial" w:hAnsi="Arial" w:cs="Arial"/>
          <w:b/>
          <w:i/>
          <w:color w:val="002060"/>
          <w:lang w:val="uk-UA"/>
        </w:rPr>
        <w:t>0</w:t>
      </w:r>
      <w:r w:rsidR="0060699A" w:rsidRPr="00A01F04">
        <w:rPr>
          <w:rFonts w:ascii="Arial" w:hAnsi="Arial" w:cs="Arial"/>
          <w:b/>
          <w:i/>
          <w:color w:val="002060"/>
          <w:lang w:val="ru-RU"/>
        </w:rPr>
        <w:t>3</w:t>
      </w:r>
      <w:r w:rsidRPr="00A01F04">
        <w:rPr>
          <w:rFonts w:ascii="Arial" w:hAnsi="Arial" w:cs="Arial"/>
          <w:b/>
          <w:i/>
          <w:color w:val="002060"/>
          <w:lang w:val="uk-UA"/>
        </w:rPr>
        <w:t xml:space="preserve"> </w:t>
      </w:r>
      <w:r w:rsidR="0060699A" w:rsidRPr="00A01F04">
        <w:rPr>
          <w:rFonts w:ascii="Arial" w:hAnsi="Arial" w:cs="Arial"/>
          <w:b/>
          <w:i/>
          <w:color w:val="002060"/>
          <w:lang w:val="uk-UA"/>
        </w:rPr>
        <w:t xml:space="preserve">грудня </w:t>
      </w:r>
      <w:r w:rsidRPr="00A01F04">
        <w:rPr>
          <w:rFonts w:ascii="Arial" w:hAnsi="Arial" w:cs="Arial"/>
          <w:b/>
          <w:i/>
          <w:color w:val="002060"/>
          <w:lang w:val="uk-UA"/>
        </w:rPr>
        <w:t>2024 року, 1</w:t>
      </w:r>
      <w:r w:rsidR="0060699A" w:rsidRPr="00A01F04">
        <w:rPr>
          <w:rFonts w:ascii="Arial" w:hAnsi="Arial" w:cs="Arial"/>
          <w:b/>
          <w:i/>
          <w:color w:val="002060"/>
          <w:lang w:val="uk-UA"/>
        </w:rPr>
        <w:t>3</w:t>
      </w:r>
      <w:r w:rsidRPr="00A01F04">
        <w:rPr>
          <w:rFonts w:ascii="Arial" w:hAnsi="Arial" w:cs="Arial"/>
          <w:b/>
          <w:i/>
          <w:color w:val="002060"/>
          <w:lang w:val="uk-UA"/>
        </w:rPr>
        <w:t xml:space="preserve">:00 </w:t>
      </w:r>
      <w:r w:rsidR="0060699A" w:rsidRPr="00A01F04">
        <w:rPr>
          <w:rFonts w:ascii="Arial" w:hAnsi="Arial" w:cs="Arial"/>
          <w:b/>
          <w:i/>
          <w:color w:val="002060"/>
          <w:lang w:val="uk-UA"/>
        </w:rPr>
        <w:t>за київським часом.</w:t>
      </w:r>
      <w:r w:rsidRPr="00A01F04">
        <w:rPr>
          <w:rFonts w:ascii="Arial" w:hAnsi="Arial" w:cs="Arial"/>
          <w:i/>
          <w:color w:val="002060"/>
          <w:lang w:val="uk-UA"/>
        </w:rPr>
        <w:t xml:space="preserve"> </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7. Основні фактори, що будуть впливати на кінцеве рішення щодо переможця (ців) конкурсу зазначені </w:t>
      </w:r>
      <w:r w:rsidR="004C1F1E" w:rsidRPr="004C1F1E">
        <w:rPr>
          <w:rFonts w:ascii="Arial" w:hAnsi="Arial" w:cs="Arial"/>
          <w:i/>
          <w:lang w:val="uk-UA"/>
        </w:rPr>
        <w:t xml:space="preserve">в </w:t>
      </w:r>
      <w:r w:rsidR="004A5779">
        <w:rPr>
          <w:rFonts w:ascii="Arial" w:hAnsi="Arial" w:cs="Arial"/>
          <w:b/>
          <w:i/>
          <w:lang w:val="uk-UA"/>
        </w:rPr>
        <w:t>пункті 7.</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bookmarkStart w:id="0" w:name="_GoBack"/>
      <w:bookmarkEnd w:id="0"/>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8. Переможця (ців) 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Pr="004C1F1E">
        <w:rPr>
          <w:rFonts w:ascii="Arial" w:hAnsi="Arial" w:cs="Arial"/>
          <w:i/>
          <w:lang w:val="uk-UA"/>
        </w:rPr>
        <w:t xml:space="preserve"> </w:t>
      </w:r>
      <w:r w:rsidR="00885A31" w:rsidRPr="007A01F8">
        <w:rPr>
          <w:rFonts w:ascii="Arial" w:hAnsi="Arial" w:cs="Arial"/>
          <w:i/>
          <w:lang w:val="uk-UA"/>
        </w:rPr>
        <w:t>0</w:t>
      </w:r>
      <w:r w:rsidR="0060699A" w:rsidRPr="007A01F8">
        <w:rPr>
          <w:rFonts w:ascii="Arial" w:hAnsi="Arial" w:cs="Arial"/>
          <w:i/>
          <w:lang w:val="uk-UA"/>
        </w:rPr>
        <w:t>9</w:t>
      </w:r>
      <w:r w:rsidR="004C1F1E" w:rsidRPr="007A01F8">
        <w:rPr>
          <w:rFonts w:ascii="Arial" w:hAnsi="Arial" w:cs="Arial"/>
          <w:i/>
          <w:lang w:val="uk-UA"/>
        </w:rPr>
        <w:t xml:space="preserve"> </w:t>
      </w:r>
      <w:r w:rsidR="0060699A" w:rsidRPr="007A01F8">
        <w:rPr>
          <w:rFonts w:ascii="Arial" w:hAnsi="Arial" w:cs="Arial"/>
          <w:i/>
          <w:lang w:val="uk-UA"/>
        </w:rPr>
        <w:t>грудня</w:t>
      </w:r>
      <w:r w:rsidRPr="007A01F8">
        <w:rPr>
          <w:rFonts w:ascii="Arial" w:hAnsi="Arial" w:cs="Arial"/>
          <w:i/>
          <w:lang w:val="uk-UA"/>
        </w:rPr>
        <w:t xml:space="preserve"> 2024 року.</w:t>
      </w:r>
      <w:r w:rsidRPr="00995BBF">
        <w:rPr>
          <w:rFonts w:ascii="Arial" w:hAnsi="Arial" w:cs="Arial"/>
          <w:i/>
          <w:lang w:val="uk-UA"/>
        </w:rPr>
        <w:t xml:space="preserve"> Оприлюднення інформації щодо переможця (ців) відбудеться протягом</w:t>
      </w:r>
      <w:r w:rsidR="0060699A">
        <w:rPr>
          <w:rFonts w:ascii="Arial" w:hAnsi="Arial" w:cs="Arial"/>
          <w:i/>
          <w:lang w:val="uk-UA"/>
        </w:rPr>
        <w:t xml:space="preserve"> наступних</w:t>
      </w:r>
      <w:r w:rsidRPr="00995BBF">
        <w:rPr>
          <w:rFonts w:ascii="Arial" w:hAnsi="Arial" w:cs="Arial"/>
          <w:i/>
          <w:lang w:val="uk-UA"/>
        </w:rPr>
        <w:t xml:space="preserve"> 3 (трьох) робочих днів після офіційного затвердження переможців конкурсною комісією.</w:t>
      </w:r>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995BBF" w:rsidRPr="00995BBF">
        <w:rPr>
          <w:rFonts w:ascii="Arial" w:hAnsi="Arial" w:cs="Arial"/>
          <w:b/>
          <w:i/>
          <w:iCs/>
          <w:lang w:val="uk-UA" w:eastAsia="ru-RU"/>
        </w:rPr>
        <w:t>.</w:t>
      </w:r>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7A01F8" w:rsidRDefault="005E7928" w:rsidP="00AF0189">
      <w:pPr>
        <w:jc w:val="both"/>
        <w:rPr>
          <w:rFonts w:ascii="Arial" w:hAnsi="Arial" w:cs="Arial"/>
          <w:b/>
          <w:i/>
          <w:color w:val="002060"/>
          <w:lang w:val="uk-UA"/>
        </w:rPr>
      </w:pPr>
      <w:r w:rsidRPr="007A01F8">
        <w:rPr>
          <w:rFonts w:ascii="Arial" w:hAnsi="Arial" w:cs="Arial"/>
          <w:b/>
          <w:i/>
          <w:color w:val="002060"/>
          <w:lang w:val="uk-UA"/>
        </w:rPr>
        <w:t xml:space="preserve">Просимо звернути увагу на те, що згідно процедур проведення конкурсу </w:t>
      </w:r>
      <w:r w:rsidR="0060699A" w:rsidRPr="007A01F8">
        <w:rPr>
          <w:rFonts w:ascii="Arial" w:hAnsi="Arial" w:cs="Arial"/>
          <w:b/>
          <w:i/>
          <w:color w:val="002060"/>
          <w:lang w:val="uk-UA"/>
        </w:rPr>
        <w:t>0</w:t>
      </w:r>
      <w:r w:rsidR="007A01F8" w:rsidRPr="007A01F8">
        <w:rPr>
          <w:rFonts w:ascii="Arial" w:hAnsi="Arial" w:cs="Arial"/>
          <w:b/>
          <w:i/>
          <w:color w:val="002060"/>
          <w:lang w:val="uk-UA"/>
        </w:rPr>
        <w:t>2</w:t>
      </w:r>
      <w:r w:rsidR="0060699A" w:rsidRPr="007A01F8">
        <w:rPr>
          <w:rFonts w:ascii="Arial" w:hAnsi="Arial" w:cs="Arial"/>
          <w:b/>
          <w:i/>
          <w:color w:val="002060"/>
          <w:lang w:val="uk-UA"/>
        </w:rPr>
        <w:t xml:space="preserve"> грудня </w:t>
      </w:r>
      <w:r w:rsidRPr="007A01F8">
        <w:rPr>
          <w:rFonts w:ascii="Arial" w:hAnsi="Arial" w:cs="Arial"/>
          <w:b/>
          <w:i/>
          <w:color w:val="002060"/>
          <w:lang w:val="ru-RU"/>
        </w:rPr>
        <w:t>2024</w:t>
      </w:r>
      <w:r w:rsidRPr="007A01F8">
        <w:rPr>
          <w:rFonts w:ascii="Arial" w:hAnsi="Arial" w:cs="Arial"/>
          <w:b/>
          <w:i/>
          <w:color w:val="002060"/>
          <w:lang w:val="uk-UA"/>
        </w:rPr>
        <w:t xml:space="preserve"> року до 1</w:t>
      </w:r>
      <w:r w:rsidRPr="007A01F8">
        <w:rPr>
          <w:rFonts w:ascii="Arial" w:hAnsi="Arial" w:cs="Arial"/>
          <w:b/>
          <w:i/>
          <w:color w:val="002060"/>
          <w:lang w:val="ru-RU"/>
        </w:rPr>
        <w:t>1</w:t>
      </w:r>
      <w:r w:rsidRPr="007A01F8">
        <w:rPr>
          <w:rFonts w:ascii="Arial" w:hAnsi="Arial" w:cs="Arial"/>
          <w:b/>
          <w:i/>
          <w:color w:val="002060"/>
          <w:lang w:val="uk-UA"/>
        </w:rPr>
        <w:t>:00</w:t>
      </w:r>
      <w:r w:rsidR="00CC53E7" w:rsidRPr="007A01F8">
        <w:rPr>
          <w:rFonts w:ascii="Arial" w:hAnsi="Arial" w:cs="Arial"/>
          <w:b/>
          <w:i/>
          <w:color w:val="002060"/>
          <w:lang w:val="uk-UA"/>
        </w:rPr>
        <w:t xml:space="preserve"> (</w:t>
      </w:r>
      <w:r w:rsidR="00CC53E7" w:rsidRPr="007A01F8">
        <w:rPr>
          <w:rFonts w:ascii="Arial" w:hAnsi="Arial" w:cs="Arial"/>
          <w:b/>
          <w:i/>
          <w:color w:val="002060"/>
        </w:rPr>
        <w:t>LT</w:t>
      </w:r>
      <w:r w:rsidR="00CC53E7" w:rsidRPr="007A01F8">
        <w:rPr>
          <w:rFonts w:ascii="Arial" w:hAnsi="Arial" w:cs="Arial"/>
          <w:b/>
          <w:i/>
          <w:color w:val="002060"/>
          <w:lang w:val="ru-RU"/>
        </w:rPr>
        <w:t>)</w:t>
      </w:r>
      <w:r w:rsidRPr="007A01F8">
        <w:rPr>
          <w:rFonts w:ascii="Arial" w:hAnsi="Arial" w:cs="Arial"/>
          <w:b/>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lastRenderedPageBreak/>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5E7928" w:rsidP="00AF0189">
      <w:pPr>
        <w:jc w:val="both"/>
        <w:rPr>
          <w:rFonts w:ascii="Arial" w:hAnsi="Arial" w:cs="Arial"/>
          <w:b/>
          <w:i/>
          <w:iCs/>
          <w:color w:val="002060"/>
          <w:lang w:val="uk-UA"/>
        </w:rPr>
      </w:pPr>
      <w:r w:rsidRPr="00C03971">
        <w:rPr>
          <w:rFonts w:ascii="Arial" w:hAnsi="Arial" w:cs="Arial"/>
          <w:b/>
          <w:i/>
          <w:iCs/>
          <w:color w:val="002060"/>
          <w:lang w:val="uk-UA"/>
        </w:rPr>
        <w:t>Будь ласка, повідомте про отримання цього оголошення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704F2"/>
    <w:rsid w:val="00086B90"/>
    <w:rsid w:val="000A1C2B"/>
    <w:rsid w:val="000F6DE3"/>
    <w:rsid w:val="00137161"/>
    <w:rsid w:val="00153123"/>
    <w:rsid w:val="001722A9"/>
    <w:rsid w:val="00181615"/>
    <w:rsid w:val="001B5D6E"/>
    <w:rsid w:val="001C0763"/>
    <w:rsid w:val="002747E9"/>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49DD"/>
    <w:rsid w:val="00546C04"/>
    <w:rsid w:val="00557350"/>
    <w:rsid w:val="0057601A"/>
    <w:rsid w:val="0057765A"/>
    <w:rsid w:val="00577FF6"/>
    <w:rsid w:val="005868BF"/>
    <w:rsid w:val="00587065"/>
    <w:rsid w:val="0059445D"/>
    <w:rsid w:val="005E7928"/>
    <w:rsid w:val="00605647"/>
    <w:rsid w:val="0060699A"/>
    <w:rsid w:val="0065737D"/>
    <w:rsid w:val="006A2A67"/>
    <w:rsid w:val="006A630A"/>
    <w:rsid w:val="006B7B7A"/>
    <w:rsid w:val="006C3A24"/>
    <w:rsid w:val="007220AA"/>
    <w:rsid w:val="00730553"/>
    <w:rsid w:val="00766D21"/>
    <w:rsid w:val="0078118F"/>
    <w:rsid w:val="00781E82"/>
    <w:rsid w:val="007A01F8"/>
    <w:rsid w:val="007A2AD4"/>
    <w:rsid w:val="007A3375"/>
    <w:rsid w:val="007C0B62"/>
    <w:rsid w:val="008303F9"/>
    <w:rsid w:val="00836016"/>
    <w:rsid w:val="0083633C"/>
    <w:rsid w:val="0088387C"/>
    <w:rsid w:val="00885A31"/>
    <w:rsid w:val="00895596"/>
    <w:rsid w:val="008B4EAE"/>
    <w:rsid w:val="008E548D"/>
    <w:rsid w:val="008F46EE"/>
    <w:rsid w:val="0091449D"/>
    <w:rsid w:val="00995BBF"/>
    <w:rsid w:val="00A01F04"/>
    <w:rsid w:val="00A5370F"/>
    <w:rsid w:val="00A82BC8"/>
    <w:rsid w:val="00AC6A8A"/>
    <w:rsid w:val="00AF0189"/>
    <w:rsid w:val="00B16B37"/>
    <w:rsid w:val="00B33976"/>
    <w:rsid w:val="00B347F6"/>
    <w:rsid w:val="00BD7CFF"/>
    <w:rsid w:val="00C033CD"/>
    <w:rsid w:val="00C03971"/>
    <w:rsid w:val="00C46328"/>
    <w:rsid w:val="00C51FA0"/>
    <w:rsid w:val="00C574EC"/>
    <w:rsid w:val="00CA1CA1"/>
    <w:rsid w:val="00CC53E7"/>
    <w:rsid w:val="00D25756"/>
    <w:rsid w:val="00D267C1"/>
    <w:rsid w:val="00DA36C0"/>
    <w:rsid w:val="00E30C19"/>
    <w:rsid w:val="00E83ABB"/>
    <w:rsid w:val="00EB1A22"/>
    <w:rsid w:val="00EE7814"/>
    <w:rsid w:val="00F46FF8"/>
    <w:rsid w:val="00F74A12"/>
    <w:rsid w:val="00FA0E85"/>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2</Pages>
  <Words>2519</Words>
  <Characters>1437</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35</cp:revision>
  <cp:lastPrinted>2015-12-11T16:23:00Z</cp:lastPrinted>
  <dcterms:created xsi:type="dcterms:W3CDTF">2024-08-09T09:20:00Z</dcterms:created>
  <dcterms:modified xsi:type="dcterms:W3CDTF">2024-11-20T09:04:00Z</dcterms:modified>
</cp:coreProperties>
</file>