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59" w:lineRule="auto"/>
        <w:jc w:val="center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line="259" w:lineRule="auto"/>
              <w:jc w:val="center"/>
              <w:rPr>
                <w:b w:val="1"/>
                <w:color w:val="202124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202124"/>
                <w:sz w:val="28"/>
                <w:szCs w:val="28"/>
                <w:highlight w:val="white"/>
                <w:rtl w:val="0"/>
              </w:rPr>
              <w:t xml:space="preserve">Оголошення про вакансію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hd w:fill="ffffff" w:val="clear"/>
        <w:spacing w:line="259" w:lineRule="auto"/>
        <w:rPr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59" w:lineRule="auto"/>
        <w:rPr>
          <w:color w:val="212527"/>
          <w:sz w:val="24"/>
          <w:szCs w:val="24"/>
          <w:u w:val="single"/>
        </w:rPr>
      </w:pPr>
      <w:r w:rsidDel="00000000" w:rsidR="00000000" w:rsidRPr="00000000">
        <w:rPr>
          <w:b w:val="1"/>
          <w:color w:val="212527"/>
          <w:sz w:val="24"/>
          <w:szCs w:val="24"/>
          <w:rtl w:val="0"/>
        </w:rPr>
        <w:t xml:space="preserve">Назва посади: </w:t>
      </w:r>
      <w:r w:rsidDel="00000000" w:rsidR="00000000" w:rsidRPr="00000000">
        <w:rPr>
          <w:sz w:val="24"/>
          <w:szCs w:val="24"/>
          <w:rtl w:val="0"/>
        </w:rPr>
        <w:t xml:space="preserve">Асистент/ -ка</w:t>
      </w:r>
      <w:r w:rsidDel="00000000" w:rsidR="00000000" w:rsidRPr="00000000">
        <w:rPr>
          <w:sz w:val="24"/>
          <w:szCs w:val="24"/>
          <w:rtl w:val="0"/>
        </w:rPr>
        <w:t xml:space="preserve"> проєкту: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“MTP”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(Мобільні точки лікування)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59" w:lineRule="auto"/>
        <w:rPr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Підрозділ: </w:t>
      </w:r>
      <w:r w:rsidDel="00000000" w:rsidR="00000000" w:rsidRPr="00000000">
        <w:rPr>
          <w:color w:val="202124"/>
          <w:sz w:val="8"/>
          <w:szCs w:val="8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MTP (Мобільні точки лікування)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59" w:lineRule="auto"/>
        <w:rPr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Команда: </w:t>
      </w:r>
      <w:r w:rsidDel="00000000" w:rsidR="00000000" w:rsidRPr="00000000">
        <w:rPr>
          <w:sz w:val="24"/>
          <w:szCs w:val="24"/>
          <w:rtl w:val="0"/>
        </w:rPr>
        <w:t xml:space="preserve">Мобільне здоров'я </w:t>
      </w:r>
    </w:p>
    <w:p w:rsidR="00000000" w:rsidDel="00000000" w:rsidP="00000000" w:rsidRDefault="00000000" w:rsidRPr="00000000" w14:paraId="00000008">
      <w:pPr>
        <w:shd w:fill="ffffff" w:val="clear"/>
        <w:spacing w:line="259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Департамент: </w:t>
      </w:r>
      <w:r w:rsidDel="00000000" w:rsidR="00000000" w:rsidRPr="00000000">
        <w:rPr>
          <w:sz w:val="24"/>
          <w:szCs w:val="24"/>
          <w:rtl w:val="0"/>
        </w:rPr>
        <w:t xml:space="preserve">Програмний Департамент </w:t>
      </w:r>
    </w:p>
    <w:p w:rsidR="00000000" w:rsidDel="00000000" w:rsidP="00000000" w:rsidRDefault="00000000" w:rsidRPr="00000000" w14:paraId="00000009">
      <w:pPr>
        <w:shd w:fill="ffffff" w:val="clear"/>
        <w:spacing w:line="259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Статус:</w:t>
      </w:r>
      <w:r w:rsidDel="00000000" w:rsidR="00000000" w:rsidRPr="00000000">
        <w:rPr>
          <w:sz w:val="24"/>
          <w:szCs w:val="24"/>
          <w:rtl w:val="0"/>
        </w:rPr>
        <w:t xml:space="preserve"> Штатна посада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59" w:lineRule="auto"/>
        <w:rPr>
          <w:color w:val="212527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59" w:lineRule="auto"/>
        <w:rPr>
          <w:b w:val="1"/>
          <w:color w:val="212527"/>
          <w:sz w:val="24"/>
          <w:szCs w:val="24"/>
        </w:rPr>
      </w:pPr>
      <w:r w:rsidDel="00000000" w:rsidR="00000000" w:rsidRPr="00000000">
        <w:rPr>
          <w:b w:val="1"/>
          <w:color w:val="212527"/>
          <w:sz w:val="24"/>
          <w:szCs w:val="24"/>
          <w:rtl w:val="0"/>
        </w:rPr>
        <w:t xml:space="preserve">Інформація про організацію: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59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Міжнародний благодійний фонд «Альянс громадського здоров’я» оголошує зовнішній набір на посаду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Асистент/-ка</w:t>
      </w:r>
      <w:r w:rsidDel="00000000" w:rsidR="00000000" w:rsidRPr="00000000">
        <w:rPr>
          <w:b w:val="1"/>
          <w:sz w:val="24"/>
          <w:szCs w:val="24"/>
          <w:rtl w:val="0"/>
        </w:rPr>
        <w:t xml:space="preserve"> проєкту: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“MTP” (Мобільні точки лікування)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. Мобільні клініки - це проєкт, в якому АГЗ надає основні медичні послуги особам у сільських, важкодоступних прифронтових громадах України, які постраждали від війни. проєкт у тісно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му партнерстві між місцевою владою, військовою адміністрацією, закладами охорони здоров’я та неурядовими організаціями спрямований на надання невідкладної допомоги населенню в межах від 7 до 30 кілометрів від лінії фронту в 6 областях. проєкт працює через 4 мобільні групи, до складу яких входять координатори, водії та медичний персонал, включаючи сімейних лікарів, медсестер, лаборантів та фтизіатри. Кожна команда використовує три фургони з базовим портативним обладнанням та спеціалізованими інструментами для скринінгу та діагностики туберкульозу, включаючи ультрапортативний рентген та діагностику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GeneXpert.</w:t>
      </w:r>
    </w:p>
    <w:p w:rsidR="00000000" w:rsidDel="00000000" w:rsidP="00000000" w:rsidRDefault="00000000" w:rsidRPr="00000000" w14:paraId="0000000E">
      <w:pPr>
        <w:shd w:fill="ffffff" w:val="clear"/>
        <w:spacing w:line="259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59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Міжнародний благодійний фонд «Альянс громадського здоров’я» – провідна громадська неприбуткова професійна організація, яка у співпраці з державними партнерами та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організаціями громадянського суспільства </w:t>
      </w:r>
      <w:r w:rsidDel="00000000" w:rsidR="00000000" w:rsidRPr="00000000">
        <w:rPr>
          <w:sz w:val="24"/>
          <w:szCs w:val="24"/>
          <w:rtl w:val="0"/>
        </w:rPr>
        <w:t xml:space="preserve"> здійснює значний вплив на подолання епідемій ВІЛ/СНІДу, туберкульозу, вірусних гепатитів та інших соціально небезпечних захворювань в Україні, шляхом надання фінансової та технічної підтримки відповідним програмам, які охоплюють понад 300 тис. представників найбільш вразливих верств населення, що є найвищим показником у Європі. Зараз команда Альянсу налічує понад 150 професіоналів, які працюють у Києві та інших регіонах України.</w:t>
      </w:r>
    </w:p>
    <w:p w:rsidR="00000000" w:rsidDel="00000000" w:rsidP="00000000" w:rsidRDefault="00000000" w:rsidRPr="00000000" w14:paraId="00000010">
      <w:pPr>
        <w:shd w:fill="ffffff" w:val="clear"/>
        <w:spacing w:line="259" w:lineRule="auto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59" w:lineRule="auto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before="0" w:line="308.571428571428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отримання додаткової інформації про організацію, а також її програмну діяльність та оголошені позиції відвідайте наш веб-сайт: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http://www.aph.org.ua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before="0" w:line="308.571428571428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before="0" w:line="308.571428571428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Специфіка роботи </w:t>
      </w:r>
    </w:p>
    <w:p w:rsidR="00000000" w:rsidDel="00000000" w:rsidP="00000000" w:rsidRDefault="00000000" w:rsidRPr="00000000" w14:paraId="00000015">
      <w:pPr>
        <w:shd w:fill="ffffff" w:val="clear"/>
        <w:spacing w:after="0" w:before="0" w:line="308.571428571428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Основні вимоги: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Досвід роботи на відповідній посаді не менше 1 року (в міжнародній організації буде перевагою);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Вища освіта. Відповідний університетський ступінь (охорона здоров'я, соціальні науки, медицина тощо) є плюсом;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Перевагою буде попередній досвід оформлення документів на відрядження, первинних фінансових запитів, фінансових звітів про проведені заходи; досвід оформлення фінансових документів для проведення оплати послуг консультантів;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Добре володіння письмово та розмовною українською та англійською мовами;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Високий рівень володіння комп'ютером та відмінні навички друку. Досвід роботи з програмою 1С плюс;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Аналітичні здібності та увага до деталей. Здатність самостійно виконувати поставлені завдання. Здатність виконувати жорсткі та численні дедлайни;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Тверда відданість справі протидії ВІЛ/СНІДу та підтримці діяльності неурядових організацій (НУО) в Україні.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before="0" w:line="308.5714285714286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before="0" w:line="308.5714285714286" w:lineRule="auto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Обов'язки: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Організація документообігу в 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проєкті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Допомога в координації програмної діяльності проєкту: листування з партнерами, консультантами, провайдерами послуг, постачальниками тощо;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Логістика та підтримка заходів, які проводяться під керівництвом членів команди проєкту;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Підготовка пакетів документів для організації заходів проєкту (тренінги, семінари, робочі зустрічі, експертні групи, комітети з розгляду проєктних пропозицій, круглі столи тощо) та керування документообігом заходів (підготовка та подання логістичних запитів, координація запрошення учасників та відбір, підготовка списку учасників з відповідною інформацією, підготовка пакету документів для логістичних платежів, збір та узагальнення відгуків учасників про заходи, якщо необхідно, оформлення підсумкового звіту про захід, а також пакету документів для остаточної оплати, документування заходу (фото, протокол тощо), відстежувати подію, якщо цього вимагає керівник проєкту;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Брати участь у підготовці тренінгів, семінарів та робочих зустрічей, допомагати під час проведення тренінгів;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Готувати і обробляти документи для консультантів команди проєкту, організовувати та контролювати відповідні платежі;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Перекладати листування, документацію та інші відповідні матеріали, необхідні для команди проєкту;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Організація та координація візитів співробітників команди проєкту та консультантів. Підготовка пакету документів для візитів співробітників команди проєкту та консультантів відповідно до процедур Альянсу;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Координація та обмін інформацією з іншими відділами щодо проєктних поточних справ та виникаючих питань;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Управління інформацією (файлування, зберігання, обмін листами, архівування тощо), пов’язане з командою проєкту;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hd w:fill="ffffff" w:val="clear"/>
        <w:spacing w:after="0" w:afterAutospacing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Створення проміжних оновлень і звітів для керівника проєкту щодо робочого плану проєкту щодо виконання програми, фінансування, закупівель тощо;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hd w:fill="ffffff" w:val="clear"/>
        <w:spacing w:after="0" w:before="0" w:line="308.5714285714286" w:lineRule="auto"/>
        <w:ind w:left="720" w:hanging="360"/>
        <w:rPr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Виконувати інші завдання, визначені Керівником, необхідні для успішної діяльності проєкту як необхідні для виконання стратегічних цілей.</w:t>
      </w:r>
    </w:p>
    <w:p w:rsidR="00000000" w:rsidDel="00000000" w:rsidP="00000000" w:rsidRDefault="00000000" w:rsidRPr="00000000" w14:paraId="0000002B">
      <w:pPr>
        <w:shd w:fill="ffffff" w:val="clear"/>
        <w:spacing w:after="0" w:before="0" w:line="308.5714285714286" w:lineRule="auto"/>
        <w:ind w:left="720" w:firstLine="0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line="259" w:lineRule="auto"/>
        <w:jc w:val="both"/>
        <w:rPr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Як подати заявку:</w:t>
      </w:r>
      <w:r w:rsidDel="00000000" w:rsidR="00000000" w:rsidRPr="00000000">
        <w:rPr>
          <w:color w:val="202124"/>
          <w:sz w:val="24"/>
          <w:szCs w:val="24"/>
          <w:rtl w:val="0"/>
        </w:rPr>
        <w:t xml:space="preserve"> надішліть своє резюме українською та/або англійською мовою і супровідний лист українською та/або  англійською мовою на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vacancy@aph.org.ua</w:t>
        </w:r>
      </w:hyperlink>
      <w:r w:rsidDel="00000000" w:rsidR="00000000" w:rsidRPr="00000000">
        <w:rPr>
          <w:color w:val="20212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line="259" w:lineRule="auto"/>
        <w:rPr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after="0" w:before="0" w:line="308.5714285714286" w:lineRule="auto"/>
        <w:rPr>
          <w:i w:val="1"/>
          <w:color w:val="202124"/>
          <w:sz w:val="24"/>
          <w:szCs w:val="24"/>
        </w:rPr>
      </w:pPr>
      <w:r w:rsidDel="00000000" w:rsidR="00000000" w:rsidRPr="00000000">
        <w:rPr>
          <w:color w:val="202124"/>
          <w:sz w:val="24"/>
          <w:szCs w:val="24"/>
          <w:rtl w:val="0"/>
        </w:rPr>
        <w:t xml:space="preserve">Назва теми повідомлення має містити </w:t>
      </w: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«</w:t>
      </w:r>
      <w:r w:rsidDel="00000000" w:rsidR="00000000" w:rsidRPr="00000000">
        <w:rPr>
          <w:i w:val="1"/>
          <w:color w:val="212527"/>
          <w:sz w:val="24"/>
          <w:szCs w:val="24"/>
          <w:rtl w:val="0"/>
        </w:rPr>
        <w:t xml:space="preserve">Project Assistant: MTP</w:t>
      </w: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»</w:t>
      </w:r>
    </w:p>
    <w:p w:rsidR="00000000" w:rsidDel="00000000" w:rsidP="00000000" w:rsidRDefault="00000000" w:rsidRPr="00000000" w14:paraId="0000002F">
      <w:pPr>
        <w:shd w:fill="ffffff" w:val="clear"/>
        <w:spacing w:line="259" w:lineRule="auto"/>
        <w:rPr>
          <w:color w:val="21252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before="0" w:line="308.5714285714286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Терміни подання заявок і проведення відбору: </w:t>
      </w:r>
    </w:p>
    <w:p w:rsidR="00000000" w:rsidDel="00000000" w:rsidP="00000000" w:rsidRDefault="00000000" w:rsidRPr="00000000" w14:paraId="00000031">
      <w:pPr>
        <w:shd w:fill="ffffff" w:val="clear"/>
        <w:spacing w:after="0" w:before="0" w:line="308.5714285714286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16 вересня - 16 жовтня 2024 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before="0" w:line="308.5714285714286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before="0" w:line="308.5714285714286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spacing w:line="259" w:lineRule="auto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Політика Альянсу щодо персоналу та консультантів:</w:t>
      </w:r>
    </w:p>
    <w:p w:rsidR="00000000" w:rsidDel="00000000" w:rsidP="00000000" w:rsidRDefault="00000000" w:rsidRPr="00000000" w14:paraId="00000035">
      <w:pPr>
        <w:shd w:fill="ffffff" w:val="clear"/>
        <w:spacing w:line="259" w:lineRule="auto"/>
        <w:rPr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line="259" w:lineRule="auto"/>
        <w:jc w:val="both"/>
        <w:rPr>
          <w:i w:val="1"/>
          <w:color w:val="202124"/>
          <w:sz w:val="24"/>
          <w:szCs w:val="24"/>
        </w:rPr>
      </w:pP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Міжнародний благодійний фонд «Альянс громадського здоров’я» прагне рівних можливостей і вітає заявки від людей з відповідною кваліфікацією з усіх верств суспільства. Особливо заохочується подання заявок кваліфікованими кандидатами, які належать до ключових груп населення або є представниками уразливих спільнот, зокрема  живуть з ВІЛ/СНІДом.</w:t>
      </w:r>
    </w:p>
    <w:p w:rsidR="00000000" w:rsidDel="00000000" w:rsidP="00000000" w:rsidRDefault="00000000" w:rsidRPr="00000000" w14:paraId="00000037">
      <w:pPr>
        <w:shd w:fill="ffffff" w:val="clear"/>
        <w:spacing w:line="259" w:lineRule="auto"/>
        <w:jc w:val="both"/>
        <w:rPr>
          <w:i w:val="1"/>
          <w:color w:val="202124"/>
          <w:sz w:val="24"/>
          <w:szCs w:val="24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fffff" w:val="clear"/>
        <w:spacing w:after="0" w:before="0" w:line="308.5714285714286" w:lineRule="auto"/>
        <w:jc w:val="both"/>
        <w:rPr>
          <w:i w:val="1"/>
          <w:color w:val="202124"/>
          <w:sz w:val="24"/>
          <w:szCs w:val="24"/>
        </w:rPr>
      </w:pPr>
      <w:r w:rsidDel="00000000" w:rsidR="00000000" w:rsidRPr="00000000">
        <w:rPr>
          <w:i w:val="1"/>
          <w:color w:val="202124"/>
          <w:sz w:val="24"/>
          <w:szCs w:val="24"/>
          <w:rtl w:val="0"/>
        </w:rPr>
        <w:t xml:space="preserve">Міжнародний благодійний фонд «Альянс громадського здоров’я» застосовує політику нульової толерантності щодо сексуальної експлуатації, насильства чи домагань та пов’язаного з ними зловживання владою чи повноваженнями. Очікується, що всі відібрані кандидати дотримуватимуться найвищих етичних стандартів і проходитимуть перевірку рекомендацій та репутації.</w:t>
      </w:r>
    </w:p>
    <w:p w:rsidR="00000000" w:rsidDel="00000000" w:rsidP="00000000" w:rsidRDefault="00000000" w:rsidRPr="00000000" w14:paraId="00000039">
      <w:pPr>
        <w:shd w:fill="ffffff" w:val="clear"/>
        <w:spacing w:after="0" w:before="0" w:line="308.5714285714286" w:lineRule="auto"/>
        <w:jc w:val="both"/>
        <w:rPr>
          <w:i w:val="1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ph.org.ua" TargetMode="External"/><Relationship Id="rId7" Type="http://schemas.openxmlformats.org/officeDocument/2006/relationships/hyperlink" Target="mailto:vacancy@aph.org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