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7683"/>
          <w:tab w:val="left" w:leader="none" w:pos="7993"/>
          <w:tab w:val="left" w:leader="none" w:pos="8747"/>
          <w:tab w:val="right" w:leader="none" w:pos="10035"/>
        </w:tabs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0</wp:posOffset>
                </wp:positionV>
                <wp:extent cx="1766697" cy="145224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6464" y="3077690"/>
                          <a:ext cx="17190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0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вул. Бульварно-Кудрявська, 24, 01601, м. Київ, Україна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0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Тел.:   044 490 5485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0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Факс: 044 490 5489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0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info@aph.org.ua | www.aph.org.ua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0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0</wp:posOffset>
                </wp:positionV>
                <wp:extent cx="1766697" cy="1452245"/>
                <wp:effectExtent b="0" l="0" r="0" t="0"/>
                <wp:wrapNone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697" cy="1452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-346705</wp:posOffset>
            </wp:positionH>
            <wp:positionV relativeFrom="paragraph">
              <wp:posOffset>-219704</wp:posOffset>
            </wp:positionV>
            <wp:extent cx="2647950" cy="1119674"/>
            <wp:effectExtent b="0" l="0" r="0" t="0"/>
            <wp:wrapNone/>
            <wp:docPr descr="C:\Users\havrylchenko\AppData\Local\Microsoft\Windows\INetCache\Content.Word\LOGO_NEW_ukr.jpg" id="21" name="image1.jpg"/>
            <a:graphic>
              <a:graphicData uri="http://schemas.openxmlformats.org/drawingml/2006/picture">
                <pic:pic>
                  <pic:nvPicPr>
                    <pic:cNvPr descr="C:\Users\havrylchenko\AppData\Local\Microsoft\Windows\INetCache\Content.Word\LOGO_NEW_ukr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196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7683"/>
          <w:tab w:val="left" w:leader="none" w:pos="7993"/>
          <w:tab w:val="left" w:leader="none" w:pos="8747"/>
          <w:tab w:val="right" w:leader="none" w:pos="10035"/>
        </w:tabs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7683"/>
          <w:tab w:val="left" w:leader="none" w:pos="7993"/>
          <w:tab w:val="left" w:leader="none" w:pos="8747"/>
          <w:tab w:val="right" w:leader="none" w:pos="1003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36" w:line="360" w:lineRule="auto"/>
        <w:ind w:left="1430" w:right="1367" w:hanging="6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Міжнародний благодійний фонд «Альянс громадського здоров’я» оголошує конкурс з відбору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консультанта на позицію проектного асистента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40" w:lineRule="auto"/>
        <w:rPr>
          <w:rFonts w:ascii="Times New Roman" w:cs="Times New Roman" w:eastAsia="Times New Roman" w:hAnsi="Times New Roman"/>
          <w:b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659"/>
        </w:tabs>
        <w:spacing w:before="1" w:lineRule="auto"/>
        <w:ind w:left="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м. Київ</w:t>
        <w:tab/>
        <w:t xml:space="preserve">12.06.2023  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" w:line="240" w:lineRule="auto"/>
        <w:rPr>
          <w:rFonts w:ascii="Times New Roman" w:cs="Times New Roman" w:eastAsia="Times New Roman" w:hAnsi="Times New Roman"/>
          <w:b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1" w:right="105"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Альянс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провідна професійна організація, яка у співпраці з ключовими громадськими організаціями, МОЗ та іншими державними установами бореться з низкою епідемій, зокрема ВІЛ/СНІДу та туберкульозу в Україні, здійснює профілактику програми та надає якісну технічну підтримку та фінансові ресурси місцевим організаціям.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1" w:right="122"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Місі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Альянсу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полягає у зниженні поширення інфекцій і смертей, а також зменшенні негативного впливу епідемій шляхом підтримки громадської реакції на них в Україні та поширення ефективних підходів до профілактики та лікування у Східній Європі та Центральній Азії.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141" w:firstLine="708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Альянс громадського здоров’я є основним реципієнтом регіонального гранту від Глобального фонду, проекту «Сталість послуг для ключових груп у Східній Європі та Центральній Азії» (SoS_project 2.0). Термін реалізації гранту: 01.01.2022 – 31.12.2024.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7" w:lineRule="auto"/>
        <w:ind w:left="141" w:right="105"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Географічний фокус проекту: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14 країн - Албанія, Вірменія, Азербайджан, Боснія та Герцеговина, Грузія, Казахстан, Киргизстан, Молдова, Чорногорія, Північна Македонія, Сербія, Україна, Узбекистан.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7" w:lineRule="auto"/>
        <w:ind w:left="141" w:right="102"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Мета та предмет конкурсу: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надати програмну та адміністративну підтримку, а також ефективну загальну допомогу в ІТ та інших видах діяльності проекту SoS_project 2.0 за запитом.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7" w:lineRule="auto"/>
        <w:ind w:left="141" w:right="102"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Ввідна інформація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85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Розробка низки інноваційних ІТ-рішень для використання на національному та/або регіональному рівнях для підвищення ефективності програм протидії ВІЛ є окремою важливою частиною проекту, як засіб зробити рішення для охорони здоров’я більш економічно ефективними, низькопороговими та стійкими.</w:t>
      </w:r>
    </w:p>
    <w:p w:rsidR="00000000" w:rsidDel="00000000" w:rsidP="00000000" w:rsidRDefault="00000000" w:rsidRPr="00000000" w14:paraId="00000011">
      <w:pPr>
        <w:spacing w:after="0" w:line="360" w:lineRule="auto"/>
        <w:ind w:firstLine="85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Основні ІТ-рішення, які будуть розроблені в рамках проекту: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Інформаційна система даних про ВІЛ (включаючи базу даних, додатки для постачальників послуг та клієнтів)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Регіональний та національні дашборди даних щодо ВІЛ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Електронний соціальний працівник (e-соц.працівник, еСП)</w:t>
      </w:r>
    </w:p>
    <w:p w:rsidR="00000000" w:rsidDel="00000000" w:rsidP="00000000" w:rsidRDefault="00000000" w:rsidRPr="00000000" w14:paraId="00000015">
      <w:pPr>
        <w:spacing w:after="0" w:line="360" w:lineRule="auto"/>
        <w:ind w:firstLine="85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Серед інших заходів та напрямків роботи в рамках проекту команда також планує здійснити оперативне дослідження щодо медичного лікування споживачів стимуляторів в Україні та вести іншу дотичну діяльність, спрямовану на людей, що споживають наркотики рекреаційно.</w:t>
      </w:r>
    </w:p>
    <w:p w:rsidR="00000000" w:rsidDel="00000000" w:rsidP="00000000" w:rsidRDefault="00000000" w:rsidRPr="00000000" w14:paraId="00000016">
      <w:pPr>
        <w:spacing w:after="0" w:line="360" w:lineRule="auto"/>
        <w:ind w:firstLine="855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підтримки цих (та, за потреби, інших) сфер роботи проекту APH залучає консультанта - асистента проекту.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firstLine="85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Основні напрями робіт/надання послуг: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Забезпечувати підтримку окремих напрямів в рамках проекту (ІТ та ін за потреби)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Забезпечувати технічну підтримку з організації та проведення зустрічей фахівців проекту, брати участь в зустрічах фахівців та вести протоколи зустрічей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Забезпечувати переклад документів кореспонденції, документації та інших відповідних матеріалів, необхідних для команди проекту) та (за потреби) переклад на офіційних зустрічах фахівців проекту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Забезпечувати документообіг проекту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подачі проектних пропозицій в Альянс (ведення обліку представлених пропозицій, відповідних повідомлень про конкурси пропозицій, а також іншої допомоги за запитом) та / або оформлення договірних відносин з контрагентами.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своєчасного надання звітів і контроль їх відповідності стандартам звітності протягом звітного періоду.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Організація, координація та підготовка пакету документів для реалізації візитів фахівців проектної групи та (за необхідності) зовнішніх експертів відповідно до процедур Альянсу.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Ведення, моніторинг та документування інформації баз даних, збір і аналіз інформації, необхідної для роботи команди проекту.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Підготовка і обробка документів для консультантів проектної групи, організація і контроль відповідних платежів.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Створення та процессування платежів в 1С.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Оформлення відряджень, та вирішення логістичних питань. 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Організація тренінгів/вебінарів/робочих зустрічей та їх координація. 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Виконання інших обґрунтованих і пов'язаних з цим завдань, визначених Менеджером проекту, необхідних для успішної діяльності проекту, необхідні для досягнення стратегічних цілей.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364" w:lineRule="auto"/>
        <w:ind w:right="10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Період виконання робіт/надання послуг: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грудень 2023 з можливістю продовження.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21"/>
          <w:tab w:val="left" w:leader="none" w:pos="822"/>
        </w:tabs>
        <w:spacing w:before="7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Загальні вимоги до кандидатів: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Мотивація до виконання роботи асистента 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Вища освіта 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роботи асистентом/секретарем (перевага) 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Вміння працювати в команді, гарні навички спілкування, вміння налагоджувати контакти з членами команди 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Здібності до швидкого навчання та оволодіння новими навичками 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Здібності до ефективної організації робочого часу, здатність дотримуватись термінів виконання завдань 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Ініціативність, акуратність, мотивація до професійного зростання 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Вільне володіння українською та російською мовами; англійська мова – b2 upper intermediate і вище 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Комп’ютерні навички: вміння працювати з Microsoft Word, Microsoft Excel, PowerPoint, 1C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right="28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4" w:lineRule="auto"/>
        <w:ind w:left="113" w:right="10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Ми пропонуємо: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конкурентну оплату праці та співпрацю з динамічною організацією, що розвивається й націлена на результат.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 додатковою інформацією щодо діяльності Альянсу звертайтеся на веб-сайт: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www.aph.org.ua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93" w:line="364" w:lineRule="auto"/>
        <w:ind w:left="113" w:right="10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Як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взяти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участь у конкурсі: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будь ласка, надішліть: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364" w:lineRule="auto"/>
        <w:ind w:left="473" w:right="10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своє резюме з зазначенням вашої освіти та релевантного до поставлених завдань досвіду;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364" w:lineRule="auto"/>
        <w:ind w:left="473" w:right="10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короткий супровідний лист, у якому висвітлюється передбачуваний підхід і чітко вказується, яку(і) тематичну область(-і) - може взяти на себе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асистент.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="364" w:lineRule="auto"/>
        <w:ind w:left="113" w:right="10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адресу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obilous@aph.org.ua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="364" w:lineRule="auto"/>
        <w:ind w:left="113" w:right="10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Тема листа - конкурс-ас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720" w:lineRule="auto"/>
        <w:ind w:left="113" w:right="174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Останній термін подачі заявок: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 червня 2023 року</w:t>
      </w:r>
    </w:p>
    <w:p w:rsidR="00000000" w:rsidDel="00000000" w:rsidP="00000000" w:rsidRDefault="00000000" w:rsidRPr="00000000" w14:paraId="0000003B">
      <w:pPr>
        <w:widowControl w:val="0"/>
        <w:spacing w:after="0" w:before="78" w:line="36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Міжнародний благодійний фонд «Альянс громадського здоров’я» сповідує політику рівних можливостей та вітає участь у конкурсі кваліфікованих осіб з усіх верств суспільства.</w:t>
      </w:r>
    </w:p>
    <w:p w:rsidR="00000000" w:rsidDel="00000000" w:rsidP="00000000" w:rsidRDefault="00000000" w:rsidRPr="00000000" w14:paraId="0000003C">
      <w:pPr>
        <w:widowControl w:val="0"/>
        <w:spacing w:after="0" w:before="1" w:line="240" w:lineRule="auto"/>
        <w:rPr>
          <w:rFonts w:ascii="Times New Roman" w:cs="Times New Roman" w:eastAsia="Times New Roman" w:hAnsi="Times New Roman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113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Зверніть, будь ласка, увагу: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tabs>
          <w:tab w:val="left" w:leader="none" w:pos="821"/>
          <w:tab w:val="left" w:leader="none" w:pos="822"/>
        </w:tabs>
        <w:spacing w:after="0" w:before="131" w:line="360" w:lineRule="auto"/>
        <w:ind w:left="850" w:right="102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Переважними вважаються пропозиції одного і того ж кандидата на декілька позицій цього конкурсу. Тобто, перевага віддається найбільш досвідченим та кваліфікованим кандидатам, резюме яких відповідає вимогам декількох позицій (див. вище).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tabs>
          <w:tab w:val="left" w:leader="none" w:pos="821"/>
          <w:tab w:val="left" w:leader="none" w:pos="822"/>
        </w:tabs>
        <w:spacing w:after="0" w:before="1" w:line="355" w:lineRule="auto"/>
        <w:ind w:left="850" w:right="109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Можлива додаткова співбесіда за результатами попереднього розгляду резюме та мотиваційного листа учасника.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tabs>
          <w:tab w:val="left" w:leader="none" w:pos="821"/>
          <w:tab w:val="left" w:leader="none" w:pos="822"/>
        </w:tabs>
        <w:spacing w:after="0" w:before="5" w:line="355" w:lineRule="auto"/>
        <w:ind w:left="850" w:right="105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Альянс залишає за собою право не повідомляти учасників конкурсу, які не пройдуть відбір, про його результати та причини відмов.</w:t>
      </w:r>
    </w:p>
    <w:sectPr>
      <w:pgSz w:h="16840" w:w="11910" w:orient="portrait"/>
      <w:pgMar w:bottom="280" w:top="840" w:left="102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850" w:hanging="720"/>
      </w:pPr>
      <w:rPr>
        <w:rFonts w:ascii="Noto Sans" w:cs="Noto Sans" w:eastAsia="Noto Sans" w:hAnsi="Noto Sans"/>
        <w:sz w:val="22"/>
        <w:szCs w:val="22"/>
      </w:rPr>
    </w:lvl>
    <w:lvl w:ilvl="1">
      <w:start w:val="0"/>
      <w:numFmt w:val="bullet"/>
      <w:lvlText w:val="•"/>
      <w:lvlJc w:val="left"/>
      <w:pPr>
        <w:ind w:left="1122" w:hanging="708"/>
      </w:pPr>
      <w:rPr/>
    </w:lvl>
    <w:lvl w:ilvl="2">
      <w:start w:val="0"/>
      <w:numFmt w:val="bullet"/>
      <w:lvlText w:val="•"/>
      <w:lvlJc w:val="left"/>
      <w:pPr>
        <w:ind w:left="2125" w:hanging="708"/>
      </w:pPr>
      <w:rPr/>
    </w:lvl>
    <w:lvl w:ilvl="3">
      <w:start w:val="0"/>
      <w:numFmt w:val="bullet"/>
      <w:lvlText w:val="•"/>
      <w:lvlJc w:val="left"/>
      <w:pPr>
        <w:ind w:left="3127" w:hanging="708"/>
      </w:pPr>
      <w:rPr/>
    </w:lvl>
    <w:lvl w:ilvl="4">
      <w:start w:val="0"/>
      <w:numFmt w:val="bullet"/>
      <w:lvlText w:val="•"/>
      <w:lvlJc w:val="left"/>
      <w:pPr>
        <w:ind w:left="4130" w:hanging="708"/>
      </w:pPr>
      <w:rPr/>
    </w:lvl>
    <w:lvl w:ilvl="5">
      <w:start w:val="0"/>
      <w:numFmt w:val="bullet"/>
      <w:lvlText w:val="•"/>
      <w:lvlJc w:val="left"/>
      <w:pPr>
        <w:ind w:left="5133" w:hanging="708.0000000000009"/>
      </w:pPr>
      <w:rPr/>
    </w:lvl>
    <w:lvl w:ilvl="6">
      <w:start w:val="0"/>
      <w:numFmt w:val="bullet"/>
      <w:lvlText w:val="•"/>
      <w:lvlJc w:val="left"/>
      <w:pPr>
        <w:ind w:left="6135" w:hanging="708"/>
      </w:pPr>
      <w:rPr/>
    </w:lvl>
    <w:lvl w:ilvl="7">
      <w:start w:val="0"/>
      <w:numFmt w:val="bullet"/>
      <w:lvlText w:val="•"/>
      <w:lvlJc w:val="left"/>
      <w:pPr>
        <w:ind w:left="7138" w:hanging="708"/>
      </w:pPr>
      <w:rPr/>
    </w:lvl>
    <w:lvl w:ilvl="8">
      <w:start w:val="0"/>
      <w:numFmt w:val="bullet"/>
      <w:lvlText w:val="•"/>
      <w:lvlJc w:val="left"/>
      <w:pPr>
        <w:ind w:left="8141" w:hanging="707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473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193" w:hanging="360"/>
      </w:pPr>
      <w:rPr/>
    </w:lvl>
    <w:lvl w:ilvl="2">
      <w:start w:val="1"/>
      <w:numFmt w:val="lowerRoman"/>
      <w:lvlText w:val="%3."/>
      <w:lvlJc w:val="right"/>
      <w:pPr>
        <w:ind w:left="1913" w:hanging="180"/>
      </w:pPr>
      <w:rPr/>
    </w:lvl>
    <w:lvl w:ilvl="3">
      <w:start w:val="1"/>
      <w:numFmt w:val="decimal"/>
      <w:lvlText w:val="%4."/>
      <w:lvlJc w:val="left"/>
      <w:pPr>
        <w:ind w:left="2633" w:hanging="360"/>
      </w:pPr>
      <w:rPr/>
    </w:lvl>
    <w:lvl w:ilvl="4">
      <w:start w:val="1"/>
      <w:numFmt w:val="lowerLetter"/>
      <w:lvlText w:val="%5."/>
      <w:lvlJc w:val="left"/>
      <w:pPr>
        <w:ind w:left="3353" w:hanging="360"/>
      </w:pPr>
      <w:rPr/>
    </w:lvl>
    <w:lvl w:ilvl="5">
      <w:start w:val="1"/>
      <w:numFmt w:val="lowerRoman"/>
      <w:lvlText w:val="%6."/>
      <w:lvlJc w:val="right"/>
      <w:pPr>
        <w:ind w:left="4073" w:hanging="180"/>
      </w:pPr>
      <w:rPr/>
    </w:lvl>
    <w:lvl w:ilvl="6">
      <w:start w:val="1"/>
      <w:numFmt w:val="decimal"/>
      <w:lvlText w:val="%7."/>
      <w:lvlJc w:val="left"/>
      <w:pPr>
        <w:ind w:left="4793" w:hanging="360"/>
      </w:pPr>
      <w:rPr/>
    </w:lvl>
    <w:lvl w:ilvl="7">
      <w:start w:val="1"/>
      <w:numFmt w:val="lowerLetter"/>
      <w:lvlText w:val="%8."/>
      <w:lvlJc w:val="left"/>
      <w:pPr>
        <w:ind w:left="5513" w:hanging="360"/>
      </w:pPr>
      <w:rPr/>
    </w:lvl>
    <w:lvl w:ilvl="8">
      <w:start w:val="1"/>
      <w:numFmt w:val="lowerRoman"/>
      <w:lvlText w:val="%9."/>
      <w:lvlJc w:val="right"/>
      <w:pPr>
        <w:ind w:left="6233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833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833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833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7E6EA5"/>
    <w:pPr>
      <w:widowControl w:val="0"/>
      <w:autoSpaceDE w:val="0"/>
      <w:autoSpaceDN w:val="0"/>
      <w:spacing w:after="0" w:line="240" w:lineRule="auto"/>
      <w:ind w:left="833"/>
      <w:outlineLvl w:val="0"/>
    </w:pPr>
    <w:rPr>
      <w:rFonts w:ascii="Arial" w:cs="Arial" w:eastAsia="Arial" w:hAnsi="Arial"/>
      <w:b w:val="1"/>
      <w:bCs w:val="1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alloon Text"/>
    <w:basedOn w:val="a"/>
    <w:link w:val="a5"/>
    <w:uiPriority w:val="99"/>
    <w:semiHidden w:val="1"/>
    <w:unhideWhenUsed w:val="1"/>
    <w:rsid w:val="000F6DE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0F6DE3"/>
    <w:rPr>
      <w:rFonts w:ascii="Segoe UI" w:cs="Segoe UI" w:hAnsi="Segoe U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88387C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88387C"/>
  </w:style>
  <w:style w:type="paragraph" w:styleId="a8">
    <w:name w:val="footer"/>
    <w:basedOn w:val="a"/>
    <w:link w:val="a9"/>
    <w:uiPriority w:val="99"/>
    <w:unhideWhenUsed w:val="1"/>
    <w:rsid w:val="0088387C"/>
    <w:pPr>
      <w:tabs>
        <w:tab w:val="center" w:pos="4680"/>
        <w:tab w:val="right" w:pos="9360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88387C"/>
  </w:style>
  <w:style w:type="character" w:styleId="10" w:customStyle="1">
    <w:name w:val="Заголовок 1 Знак"/>
    <w:basedOn w:val="a0"/>
    <w:link w:val="1"/>
    <w:uiPriority w:val="9"/>
    <w:rsid w:val="007E6EA5"/>
    <w:rPr>
      <w:rFonts w:ascii="Arial" w:cs="Arial" w:eastAsia="Arial" w:hAnsi="Arial"/>
      <w:b w:val="1"/>
      <w:bCs w:val="1"/>
      <w:lang w:val="uk-UA"/>
    </w:rPr>
  </w:style>
  <w:style w:type="table" w:styleId="TableNormal1" w:customStyle="1">
    <w:name w:val="Table Normal"/>
    <w:uiPriority w:val="2"/>
    <w:semiHidden w:val="1"/>
    <w:unhideWhenUsed w:val="1"/>
    <w:qFormat w:val="1"/>
    <w:rsid w:val="007E6EA5"/>
    <w:pPr>
      <w:widowControl w:val="0"/>
      <w:autoSpaceDE w:val="0"/>
      <w:autoSpaceDN w:val="0"/>
      <w:spacing w:after="0" w:line="240" w:lineRule="auto"/>
    </w:p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a">
    <w:name w:val="Body Text"/>
    <w:basedOn w:val="a"/>
    <w:link w:val="ab"/>
    <w:uiPriority w:val="1"/>
    <w:qFormat w:val="1"/>
    <w:rsid w:val="007E6EA5"/>
    <w:pPr>
      <w:widowControl w:val="0"/>
      <w:autoSpaceDE w:val="0"/>
      <w:autoSpaceDN w:val="0"/>
      <w:spacing w:after="0" w:line="240" w:lineRule="auto"/>
      <w:ind w:left="1246"/>
    </w:pPr>
    <w:rPr>
      <w:rFonts w:ascii="Microsoft Sans Serif" w:cs="Microsoft Sans Serif" w:eastAsia="Microsoft Sans Serif" w:hAnsi="Microsoft Sans Serif"/>
    </w:rPr>
  </w:style>
  <w:style w:type="character" w:styleId="ab" w:customStyle="1">
    <w:name w:val="Основной текст Знак"/>
    <w:basedOn w:val="a0"/>
    <w:link w:val="aa"/>
    <w:uiPriority w:val="1"/>
    <w:rsid w:val="007E6EA5"/>
    <w:rPr>
      <w:rFonts w:ascii="Microsoft Sans Serif" w:cs="Microsoft Sans Serif" w:eastAsia="Microsoft Sans Serif" w:hAnsi="Microsoft Sans Serif"/>
      <w:lang w:val="uk-UA"/>
    </w:rPr>
  </w:style>
  <w:style w:type="paragraph" w:styleId="ac">
    <w:name w:val="List Paragraph"/>
    <w:basedOn w:val="a"/>
    <w:uiPriority w:val="1"/>
    <w:qFormat w:val="1"/>
    <w:rsid w:val="007E6EA5"/>
    <w:pPr>
      <w:widowControl w:val="0"/>
      <w:autoSpaceDE w:val="0"/>
      <w:autoSpaceDN w:val="0"/>
      <w:spacing w:after="0" w:line="240" w:lineRule="auto"/>
      <w:ind w:left="1246" w:hanging="281"/>
    </w:pPr>
    <w:rPr>
      <w:rFonts w:ascii="Microsoft Sans Serif" w:cs="Microsoft Sans Serif" w:eastAsia="Microsoft Sans Serif" w:hAnsi="Microsoft Sans Serif"/>
    </w:rPr>
  </w:style>
  <w:style w:type="paragraph" w:styleId="TableParagraph" w:customStyle="1">
    <w:name w:val="Table Paragraph"/>
    <w:basedOn w:val="a"/>
    <w:uiPriority w:val="1"/>
    <w:qFormat w:val="1"/>
    <w:rsid w:val="007E6EA5"/>
    <w:pPr>
      <w:widowControl w:val="0"/>
      <w:autoSpaceDE w:val="0"/>
      <w:autoSpaceDN w:val="0"/>
      <w:spacing w:after="0" w:line="240" w:lineRule="auto"/>
    </w:pPr>
    <w:rPr>
      <w:rFonts w:ascii="Microsoft Sans Serif" w:cs="Microsoft Sans Serif" w:eastAsia="Microsoft Sans Serif" w:hAnsi="Microsoft Sans Serif"/>
    </w:rPr>
  </w:style>
  <w:style w:type="character" w:styleId="ad">
    <w:name w:val="Hyperlink"/>
    <w:basedOn w:val="a0"/>
    <w:uiPriority w:val="99"/>
    <w:unhideWhenUsed w:val="1"/>
    <w:rsid w:val="00306D5F"/>
    <w:rPr>
      <w:color w:val="0563c1" w:themeColor="hyperlink"/>
      <w:u w:val="single"/>
    </w:rPr>
  </w:style>
  <w:style w:type="paragraph" w:styleId="ae">
    <w:name w:val="Subtitle"/>
    <w:basedOn w:val="a"/>
    <w:next w:val="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obilous@aph.org.ua" TargetMode="External"/><Relationship Id="rId9" Type="http://schemas.openxmlformats.org/officeDocument/2006/relationships/hyperlink" Target="http://www.aph.org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Vs95S5tIB63eschPOvpWapH2Q==">CgMxLjA4AHIhMTVPNE1yeEloS2pSWl9DUUZkU25RVmVnQzFMZDFaVkFw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2015-12-22T09:18:00Z</dcterms:created>
  <dc:creator>Dima Tsapko</dc:creator>
</cp:coreProperties>
</file>